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1</w:t>
      </w:r>
      <w:r>
        <w:rPr>
          <w:lang w:val="fr-BE"/>
        </w:rPr>
        <w:t xml:space="preserve">: </w:t>
      </w:r>
      <w:r>
        <w:rPr>
          <w:lang w:val="fr-BE"/>
        </w:rPr>
        <w:t>Identification de la substance/du mélange et de la société/de l’entreprise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1.1. </w:t>
      </w:r>
      <w:r>
        <w:rPr>
          <w:lang w:val="en-GB"/>
        </w:rPr>
        <w:t>Identificateur de produit</w:t>
      </w: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283"/>
        <w:gridCol w:w="6520"/>
      </w:tblGrid>
      <w:tr w:rsidR="00EC34D3">
        <w:trPr>
          <w:cantSplit/>
          <w:trHeight w:val="23"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Forme du produit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Mélange</w:t>
            </w:r>
          </w:p>
        </w:tc>
      </w:tr>
      <w:tr w:rsidR="00EC34D3">
        <w:trPr>
          <w:cantSplit/>
          <w:trHeight w:val="23"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Nom commercial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FDS 10% - Ambre</w:t>
            </w:r>
          </w:p>
        </w:tc>
      </w:tr>
      <w:tr w:rsidR="00EC34D3">
        <w:trPr>
          <w:cantSplit/>
          <w:trHeight w:val="23"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Code du produit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-</w:t>
            </w:r>
          </w:p>
        </w:tc>
      </w:tr>
      <w:tr w:rsidR="00EC34D3">
        <w:trPr>
          <w:cantSplit/>
          <w:trHeight w:val="23"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Groupe de produits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Bougies</w:t>
            </w:r>
          </w:p>
        </w:tc>
      </w:tr>
    </w:tbl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1.2. </w:t>
      </w:r>
      <w:r>
        <w:rPr>
          <w:lang w:val="fr-BE"/>
        </w:rPr>
        <w:t xml:space="preserve">Utilisations </w:t>
      </w:r>
      <w:r>
        <w:rPr>
          <w:lang w:val="fr-BE"/>
        </w:rPr>
        <w:t>identifiées pertinentes de la substance ou du mélange et utilisations déconseillées</w:t>
      </w:r>
    </w:p>
    <w:p w:rsidR="00EC34D3" w:rsidRDefault="00F35D2A">
      <w:pPr>
        <w:pStyle w:val="SDSTextHeading3"/>
        <w:rPr>
          <w:lang w:val="fr-BE"/>
        </w:rPr>
      </w:pPr>
      <w:r>
        <w:rPr>
          <w:lang w:val="fr-BE"/>
        </w:rPr>
        <w:t xml:space="preserve">1.2.1. </w:t>
      </w:r>
      <w:r>
        <w:rPr>
          <w:lang w:val="fr-BE" w:eastAsia="fr-FR"/>
        </w:rPr>
        <w:t>Utilisations identifiées pertinentes</w:t>
      </w:r>
    </w:p>
    <w:p w:rsidR="00EC34D3" w:rsidRDefault="00F35D2A">
      <w:pPr>
        <w:pStyle w:val="SDSTextNormal"/>
      </w:pPr>
      <w:r>
        <w:t>Destiné au grand public</w:t>
      </w: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283"/>
        <w:gridCol w:w="6520"/>
      </w:tblGrid>
      <w:tr w:rsidR="00EC34D3">
        <w:trPr>
          <w:cantSplit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Catégorie d’usage principal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Utilisation par les consommateurs</w:t>
            </w:r>
          </w:p>
        </w:tc>
      </w:tr>
    </w:tbl>
    <w:p w:rsidR="00EC34D3" w:rsidRDefault="00F35D2A">
      <w:pPr>
        <w:pStyle w:val="SDSTextHeading3"/>
      </w:pPr>
      <w:r>
        <w:t>1.2.2. Utilisations déconseillées</w:t>
      </w:r>
    </w:p>
    <w:p w:rsidR="00EC34D3" w:rsidRDefault="00F35D2A">
      <w:pPr>
        <w:pStyle w:val="SDSTextNormal"/>
      </w:pPr>
      <w:r>
        <w:t xml:space="preserve">Pas </w:t>
      </w:r>
      <w:r>
        <w:t>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1.3. </w:t>
      </w:r>
      <w:r>
        <w:rPr>
          <w:lang w:val="en-GB"/>
        </w:rPr>
        <w:t>Renseignements concernant le fournisseur de la fiche de données de sécurité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5"/>
      </w:tblGrid>
      <w:tr w:rsidR="00EC34D3">
        <w:trPr>
          <w:cantSplit/>
        </w:trPr>
        <w:tc>
          <w:tcPr>
            <w:tcW w:w="10485" w:type="dxa"/>
          </w:tcPr>
          <w:p w:rsidR="00EC34D3" w:rsidRDefault="00F35D2A">
            <w:pPr>
              <w:pStyle w:val="SDSTableTextBold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Fabricant</w:t>
            </w:r>
          </w:p>
          <w:p w:rsidR="00EC34D3" w:rsidRDefault="000C464C">
            <w:pPr>
              <w:pStyle w:val="SDSTableTextNormal"/>
              <w:rPr>
                <w:lang w:val="en-GB" w:eastAsia="nl-NL" w:bidi="ar-SA"/>
              </w:rPr>
            </w:pPr>
            <w:r>
              <w:t>Comme un souvenir…</w:t>
            </w:r>
            <w:r>
              <w:br/>
              <w:t>36 ancien chemin royal</w:t>
            </w:r>
            <w:r>
              <w:br/>
              <w:t>11400 Lasbordes</w:t>
            </w:r>
            <w:r>
              <w:br/>
              <w:t>FRANCE</w:t>
            </w:r>
            <w:r>
              <w:br/>
              <w:t>Tél : 06 63 34 44 54</w:t>
            </w:r>
            <w:r>
              <w:rPr>
                <w:noProof/>
              </w:rPr>
              <w:br/>
            </w:r>
            <w:r>
              <w:t>commeunsouvenir@gmail.com</w:t>
            </w:r>
            <w:bookmarkStart w:id="0" w:name="_GoBack"/>
            <w:bookmarkEnd w:id="0"/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1.4. </w:t>
      </w:r>
      <w:r>
        <w:rPr>
          <w:lang w:val="en-GB"/>
        </w:rPr>
        <w:t>Numéro d’appel d’urgence</w:t>
      </w:r>
    </w:p>
    <w:tbl>
      <w:tblPr>
        <w:tblW w:w="10488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3118"/>
        <w:gridCol w:w="2268"/>
        <w:gridCol w:w="1984"/>
        <w:gridCol w:w="1701"/>
      </w:tblGrid>
      <w:tr w:rsidR="00EC34D3">
        <w:trPr>
          <w:cantSplit/>
          <w:tblHeader/>
        </w:trPr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Pays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Organisme/Société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Adresse</w:t>
            </w: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Numéro d’urgence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Commentaire</w:t>
            </w:r>
          </w:p>
        </w:tc>
      </w:tr>
      <w:tr w:rsidR="00EC34D3">
        <w:trPr>
          <w:cantSplit/>
        </w:trPr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France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ORFILA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rFonts w:eastAsia="Arial"/>
                <w:lang w:val="en-GB" w:eastAsia="nl-NL" w:bidi="ar-S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+33 1 45 42 59 59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Ce numéro permet d’obtenir les coordonnées de tous les centres </w:t>
            </w:r>
            <w:r>
              <w:rPr>
                <w:lang w:val="en-GB" w:eastAsia="fr-FR" w:bidi="ar-SA"/>
              </w:rPr>
              <w:t>Anti-poison Français. Ces centres anti-poison et de toxicovigilance fournissent une aide médicale gratuite (hors coût d’appel), 24 heures sur 24 et 7 jours sur 7.</w:t>
            </w:r>
          </w:p>
        </w:tc>
      </w:tr>
    </w:tbl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2</w:t>
      </w:r>
      <w:r>
        <w:rPr>
          <w:lang w:val="fr-BE"/>
        </w:rPr>
        <w:t xml:space="preserve">: </w:t>
      </w:r>
      <w:r>
        <w:rPr>
          <w:lang w:val="fr-BE"/>
        </w:rPr>
        <w:t>Identification des dangers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2.1. </w:t>
      </w:r>
      <w:r>
        <w:rPr>
          <w:lang w:val="fr-BE"/>
        </w:rPr>
        <w:t>Classification de la substance ou du mélange</w:t>
      </w:r>
    </w:p>
    <w:p w:rsidR="00EC34D3" w:rsidRDefault="00F35D2A">
      <w:pPr>
        <w:pStyle w:val="SDSTextHeading3"/>
        <w:rPr>
          <w:lang w:val="fr-BE"/>
        </w:rPr>
      </w:pPr>
      <w:r>
        <w:rPr>
          <w:lang w:val="fr-BE" w:eastAsia="fr-FR"/>
        </w:rPr>
        <w:t>Classification selon le règlement (CE) N° 1272/2008 [CLP]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021"/>
        <w:gridCol w:w="1134"/>
        <w:gridCol w:w="2835"/>
      </w:tblGrid>
      <w:tr w:rsidR="00EC34D3">
        <w:trPr>
          <w:cantSplit/>
        </w:trPr>
        <w:tc>
          <w:tcPr>
            <w:tcW w:w="450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Dangereux pour le milieu aquatique – Danger chronique, catégorie 3</w:t>
            </w:r>
          </w:p>
        </w:tc>
        <w:tc>
          <w:tcPr>
            <w:tcW w:w="2021" w:type="dxa"/>
          </w:tcPr>
          <w:p w:rsidR="00EC34D3" w:rsidRDefault="00F35D2A">
            <w:pPr>
              <w:pStyle w:val="SDSTableTextNormal"/>
            </w:pPr>
            <w:r>
              <w:rPr>
                <w:lang w:val="en-GB" w:eastAsia="fr-FR" w:bidi="ar-SA"/>
              </w:rPr>
              <w:t>H412</w:t>
            </w:r>
            <w:r>
              <w:rPr>
                <w:lang w:val="en-GB" w:eastAsia="nl-NL" w:bidi="ar-SA"/>
              </w:rPr>
              <w:t xml:space="preserve"> </w:t>
            </w:r>
          </w:p>
        </w:tc>
        <w:tc>
          <w:tcPr>
            <w:tcW w:w="1134" w:type="dxa"/>
          </w:tcPr>
          <w:p w:rsidR="00EC34D3" w:rsidRDefault="00EC34D3">
            <w:pPr>
              <w:snapToGrid w:val="0"/>
              <w:rPr>
                <w:lang w:val="en-GB" w:eastAsia="nl-NL" w:bidi="ar-SA"/>
              </w:rPr>
            </w:pPr>
          </w:p>
        </w:tc>
        <w:tc>
          <w:tcPr>
            <w:tcW w:w="2835" w:type="dxa"/>
          </w:tcPr>
          <w:p w:rsidR="00EC34D3" w:rsidRDefault="00EC34D3">
            <w:pPr>
              <w:pStyle w:val="SDSTableTextNormal"/>
              <w:snapToGrid w:val="0"/>
              <w:rPr>
                <w:lang w:val="en-GB" w:eastAsia="nl-NL" w:bidi="ar-SA"/>
              </w:rPr>
            </w:pPr>
          </w:p>
        </w:tc>
      </w:tr>
    </w:tbl>
    <w:p w:rsidR="00EC34D3" w:rsidRDefault="00F35D2A">
      <w:pPr>
        <w:pStyle w:val="SDSTextNormal"/>
      </w:pPr>
      <w:r>
        <w:t>Texte intégral des mentions H et EUH : voir rubrique 16</w:t>
      </w:r>
    </w:p>
    <w:p w:rsidR="00EC34D3" w:rsidRDefault="00F35D2A">
      <w:pPr>
        <w:pStyle w:val="SDSTextHeading3"/>
      </w:pPr>
      <w:r>
        <w:t xml:space="preserve">Effets néfastes physicochimiques, pour la santé humaine et pour </w:t>
      </w:r>
      <w:r>
        <w:t>l’environnement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lastRenderedPageBreak/>
        <w:t xml:space="preserve">2.2. </w:t>
      </w:r>
      <w:r>
        <w:rPr>
          <w:lang w:val="en-GB"/>
        </w:rPr>
        <w:t>Éléments d’étiquetage</w:t>
      </w:r>
    </w:p>
    <w:p w:rsidR="00EC34D3" w:rsidRDefault="00F35D2A">
      <w:pPr>
        <w:pStyle w:val="SDSTextHeading3"/>
      </w:pPr>
      <w:r>
        <w:t>Etiquetage selon le règlement (CE) N° 1272/2008 [CLP]</w:t>
      </w: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6520"/>
      </w:tblGrid>
      <w:tr w:rsidR="00EC34D3">
        <w:trPr>
          <w:cantSplit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Mention d’avertissement (CLP)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-</w:t>
            </w:r>
          </w:p>
        </w:tc>
      </w:tr>
      <w:tr w:rsidR="00EC34D3"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Mentions de danger (CLP)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keepLines w:val="0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H412 - Nocif pour les organismes aquatiques, entra</w:t>
            </w:r>
            <w:r>
              <w:rPr>
                <w:lang w:val="en-GB" w:eastAsia="fr-FR" w:bidi="ar-SA"/>
              </w:rPr>
              <w:t>îne des effets néfastes à long terme.</w:t>
            </w:r>
          </w:p>
        </w:tc>
      </w:tr>
      <w:tr w:rsidR="00EC34D3"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Conseils de prudence (CLP)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keepLines w:val="0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P102 - Tenir hors de portée des enfants.</w:t>
            </w:r>
            <w:r>
              <w:rPr>
                <w:lang w:val="en-GB" w:eastAsia="fr-FR" w:bidi="ar-SA"/>
              </w:rPr>
              <w:br/>
              <w:t>P273 - Éviter le rejet dans l’environnement.</w:t>
            </w:r>
            <w:r>
              <w:rPr>
                <w:lang w:val="en-GB" w:eastAsia="fr-FR" w:bidi="ar-SA"/>
              </w:rPr>
              <w:br/>
              <w:t xml:space="preserve">P501 - Éliminer le contenu/récipient dans un centre de collecte de déchets dangereux ou spéciaux, </w:t>
            </w:r>
            <w:r>
              <w:rPr>
                <w:lang w:val="en-GB" w:eastAsia="fr-FR" w:bidi="ar-SA"/>
              </w:rPr>
              <w:t>conformément à la réglementation locale, régionale, nationale et/ou internationale.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2.3. </w:t>
      </w:r>
      <w:r>
        <w:rPr>
          <w:lang w:val="en-GB"/>
        </w:rPr>
        <w:t>Autres dangers</w:t>
      </w: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EC34D3">
        <w:trPr>
          <w:cantSplit/>
        </w:trPr>
        <w:tc>
          <w:tcPr>
            <w:tcW w:w="10489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Ne contient pas de substances PBT/vPvB ≥ 0,1 % évaluées conformément à l’annexe XIII du règlement REACH</w:t>
            </w:r>
          </w:p>
        </w:tc>
      </w:tr>
    </w:tbl>
    <w:p w:rsidR="00EC34D3" w:rsidRDefault="00EC34D3">
      <w:pPr>
        <w:pStyle w:val="SDSTextNormal"/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EC34D3">
        <w:trPr>
          <w:cantSplit/>
        </w:trPr>
        <w:tc>
          <w:tcPr>
            <w:tcW w:w="10489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bookmarkStart w:id="1" w:name="_Hlk61356392"/>
            <w:bookmarkEnd w:id="1"/>
            <w:r>
              <w:rPr>
                <w:lang w:val="en-GB" w:eastAsia="fr-FR" w:bidi="ar-SA"/>
              </w:rPr>
              <w:t>Le mélange ne contient pas de substances insc</w:t>
            </w:r>
            <w:r>
              <w:rPr>
                <w:lang w:val="en-GB" w:eastAsia="fr-FR" w:bidi="ar-SA"/>
              </w:rPr>
              <w:t>rites sur la liste établie conformément à l’article 59, paragraphe 1, de REACH comme ayant des propriétés perturbant le système endocrinien, ou n’est pas reconnu comme ayant des propriétés perturbant le système endocrinien conformément aux critères définis</w:t>
            </w:r>
            <w:r>
              <w:rPr>
                <w:lang w:val="en-GB" w:eastAsia="fr-FR" w:bidi="ar-SA"/>
              </w:rPr>
              <w:t xml:space="preserve"> dans le Règlement délégué (UE) 2017/2100 de la Commission ou le Règlement (UE) 2018/605 de la Commission à une concentration égale ou supérieure à 0,1 %</w:t>
            </w:r>
          </w:p>
        </w:tc>
      </w:tr>
    </w:tbl>
    <w:p w:rsidR="00EC34D3" w:rsidRDefault="00EC34D3">
      <w:pPr>
        <w:pStyle w:val="SDSTextBlankLine"/>
      </w:pPr>
    </w:p>
    <w:p w:rsidR="00EC34D3" w:rsidRDefault="00F35D2A">
      <w:pPr>
        <w:pStyle w:val="SDSTextHeading1"/>
        <w:rPr>
          <w:lang w:val="en-US"/>
        </w:rPr>
      </w:pPr>
      <w:r>
        <w:rPr>
          <w:lang w:val="en-US"/>
        </w:rPr>
        <w:t>RUBRIQUE 3</w:t>
      </w:r>
      <w:r>
        <w:rPr>
          <w:lang w:val="en-US"/>
        </w:rPr>
        <w:t xml:space="preserve">: </w:t>
      </w:r>
      <w:r>
        <w:rPr>
          <w:lang w:val="en-US"/>
        </w:rPr>
        <w:t>Composition/informations sur les composants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3.1. </w:t>
      </w:r>
      <w:r>
        <w:rPr>
          <w:lang w:val="en-GB"/>
        </w:rPr>
        <w:t>Substances</w:t>
      </w:r>
    </w:p>
    <w:p w:rsidR="00EC34D3" w:rsidRDefault="00F35D2A">
      <w:pPr>
        <w:pStyle w:val="SDSTextNormal"/>
      </w:pPr>
      <w:r>
        <w:t>Non applicable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3.2. </w:t>
      </w:r>
      <w:r>
        <w:rPr>
          <w:lang w:val="en-GB"/>
        </w:rPr>
        <w:t>Mélanges</w:t>
      </w: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1134"/>
        <w:gridCol w:w="3118"/>
      </w:tblGrid>
      <w:tr w:rsidR="00EC34D3">
        <w:trPr>
          <w:cantSplit/>
          <w:tblHeader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Nom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Identificateur de produit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%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Classification selon le règlement (CE) N° 1272/2008 [CLP]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FIXOLIDE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N° CAS</w:t>
            </w:r>
            <w:r>
              <w:rPr>
                <w:lang w:val="en-GB" w:eastAsia="nl-NL" w:bidi="ar-SA"/>
              </w:rPr>
              <w:t xml:space="preserve">: </w:t>
            </w:r>
            <w:r>
              <w:rPr>
                <w:lang w:val="en-GB" w:eastAsia="fr-FR" w:bidi="ar-SA"/>
              </w:rPr>
              <w:t>1506-02-1</w:t>
            </w:r>
          </w:p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N° CE</w:t>
            </w:r>
            <w:r>
              <w:rPr>
                <w:lang w:val="en-GB" w:eastAsia="nl-NL" w:bidi="ar-SA"/>
              </w:rPr>
              <w:t xml:space="preserve">: </w:t>
            </w:r>
            <w:r>
              <w:rPr>
                <w:lang w:val="en-GB" w:eastAsia="fr-FR" w:bidi="ar-SA"/>
              </w:rPr>
              <w:t>216-133-4</w:t>
            </w:r>
          </w:p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N° REACH</w:t>
            </w:r>
            <w:r>
              <w:rPr>
                <w:lang w:val="en-GB" w:eastAsia="nl-NL" w:bidi="ar-SA"/>
              </w:rPr>
              <w:t xml:space="preserve">: </w:t>
            </w:r>
            <w:r>
              <w:rPr>
                <w:lang w:val="en-GB" w:eastAsia="fr-FR" w:bidi="ar-SA"/>
              </w:rPr>
              <w:t xml:space="preserve">01-2119539433-40/-- 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1,23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Acute Tox. 4 (par voie orale), H302</w:t>
            </w:r>
            <w:r>
              <w:rPr>
                <w:lang w:val="en-GB" w:eastAsia="fr-FR" w:bidi="ar-SA"/>
              </w:rPr>
              <w:br/>
              <w:t>Aquatic Acute 1, H400</w:t>
            </w:r>
            <w:r>
              <w:rPr>
                <w:lang w:val="en-GB" w:eastAsia="fr-FR" w:bidi="ar-SA"/>
              </w:rPr>
              <w:br/>
              <w:t>Aquatic Chronic 1, H410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GALAXOLIDE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N° CAS</w:t>
            </w:r>
            <w:r>
              <w:rPr>
                <w:lang w:val="en-GB" w:eastAsia="nl-NL" w:bidi="ar-SA"/>
              </w:rPr>
              <w:t xml:space="preserve">: </w:t>
            </w:r>
            <w:r>
              <w:rPr>
                <w:lang w:val="en-GB" w:eastAsia="fr-FR" w:bidi="ar-SA"/>
              </w:rPr>
              <w:t>1222-05-5</w:t>
            </w:r>
          </w:p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N° CE</w:t>
            </w:r>
            <w:r>
              <w:rPr>
                <w:lang w:val="en-GB" w:eastAsia="nl-NL" w:bidi="ar-SA"/>
              </w:rPr>
              <w:t xml:space="preserve">: </w:t>
            </w:r>
            <w:r>
              <w:rPr>
                <w:lang w:val="en-GB" w:eastAsia="fr-FR" w:bidi="ar-SA"/>
              </w:rPr>
              <w:t>214-946-9</w:t>
            </w:r>
          </w:p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N° Index</w:t>
            </w:r>
            <w:r>
              <w:rPr>
                <w:lang w:val="en-GB" w:eastAsia="nl-NL" w:bidi="ar-SA"/>
              </w:rPr>
              <w:t xml:space="preserve">: </w:t>
            </w:r>
            <w:r>
              <w:rPr>
                <w:lang w:val="en-GB" w:eastAsia="fr-FR" w:bidi="ar-SA"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Aquatic Acute 1, H400</w:t>
            </w:r>
            <w:r>
              <w:rPr>
                <w:lang w:val="en-GB" w:eastAsia="fr-FR" w:bidi="ar-SA"/>
              </w:rPr>
              <w:br/>
              <w:t>Aquatic Chronic 1, H410</w:t>
            </w:r>
          </w:p>
        </w:tc>
      </w:tr>
    </w:tbl>
    <w:p w:rsidR="00EC34D3" w:rsidRDefault="00F35D2A">
      <w:pPr>
        <w:pStyle w:val="SDSTextNormal"/>
      </w:pPr>
      <w:r>
        <w:t>Texte intégral des mentions H et EUH : voir rubrique 16</w:t>
      </w:r>
    </w:p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4</w:t>
      </w:r>
      <w:r>
        <w:rPr>
          <w:lang w:val="fr-BE"/>
        </w:rPr>
        <w:t xml:space="preserve">: </w:t>
      </w:r>
      <w:r>
        <w:rPr>
          <w:lang w:val="fr-BE"/>
        </w:rPr>
        <w:t>Premiers secours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4.1. </w:t>
      </w:r>
      <w:r>
        <w:rPr>
          <w:lang w:val="fr-BE"/>
        </w:rPr>
        <w:t>Description des mesures de premiers secours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Premiers soins général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Ne jamais administrer quelque chose par la bouche à une personne inconsciente. En cas de malaise consulter un médecin (si possible lui montrer l’étiquette).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Premiers soins après inhalation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Permettre au sujet de respirer de l’air</w:t>
            </w:r>
            <w:r>
              <w:rPr>
                <w:lang w:val="en-GB" w:eastAsia="fr-FR" w:bidi="ar-SA"/>
              </w:rPr>
              <w:t xml:space="preserve"> frais. Mettre la victime au repos.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Premiers soins après contact avec la peau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Oter les vêtements touchés et laver les parties exposées de la peau au moyen d’un savon doux et d’eau, puis rincer à l’eau chaude.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Premiers soins après contact oculaire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Rin</w:t>
            </w:r>
            <w:r>
              <w:rPr>
                <w:lang w:val="en-GB" w:eastAsia="fr-FR" w:bidi="ar-SA"/>
              </w:rPr>
              <w:t>cer immédiatement et abondamment à l’eau. Consulter un médecin si la douleur ou la rougeur persistent.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Premiers soins après ingestion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Rincer la bouche. NE PAS faire vomir. Consulter d’urgence un médecin.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4.2. </w:t>
      </w:r>
      <w:r>
        <w:rPr>
          <w:lang w:val="en-GB"/>
        </w:rPr>
        <w:t>Principaux symptômes et effets, aigus et di</w:t>
      </w:r>
      <w:r>
        <w:rPr>
          <w:lang w:val="en-GB"/>
        </w:rPr>
        <w:t>fférés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Symptômes/effets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considéré comme dangereux dans des conditions normales d’utilisation.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4.3. </w:t>
      </w:r>
      <w:r>
        <w:rPr>
          <w:lang w:val="en-GB"/>
        </w:rPr>
        <w:t>Indication des éventuels soins médicaux immédiats et traitements particuliers nécessaires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lastRenderedPageBreak/>
        <w:t>RUBRIQUE 5</w:t>
      </w:r>
      <w:r>
        <w:rPr>
          <w:lang w:val="fr-BE"/>
        </w:rPr>
        <w:t xml:space="preserve">: </w:t>
      </w:r>
      <w:r>
        <w:rPr>
          <w:lang w:val="fr-BE"/>
        </w:rPr>
        <w:t>Mesures de lutte contre l’incendie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5.1. </w:t>
      </w:r>
      <w:r>
        <w:rPr>
          <w:lang w:val="fr-BE"/>
        </w:rPr>
        <w:t>Moyens d’extinction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Moyens d’extinction appropriés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Mousse. Poudre sèche. Dioxyde de carbone. Eau pulvérisée. Sable.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Agents d’extinction non appropriés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Ne pas utiliser un fort courant d’eau.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5.2. </w:t>
      </w:r>
      <w:r>
        <w:rPr>
          <w:lang w:val="en-GB"/>
        </w:rPr>
        <w:t xml:space="preserve">Dangers </w:t>
      </w:r>
      <w:r>
        <w:rPr>
          <w:lang w:val="en-GB"/>
        </w:rPr>
        <w:t>particuliers résultant de la substance ou du mélange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5.3. </w:t>
      </w:r>
      <w:r>
        <w:rPr>
          <w:lang w:val="en-GB"/>
        </w:rPr>
        <w:t>Conseils aux pompiers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Instructions de lutte contre l’incendie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Refroidir les conteneurs exposés par pulvérisation ou brouillard d’eau. Soyez prudent l</w:t>
            </w:r>
            <w:r>
              <w:rPr>
                <w:lang w:val="en-GB" w:eastAsia="fr-FR" w:bidi="ar-SA"/>
              </w:rPr>
              <w:t>ors du combat de tout incendie de produits chimiques. Eviter que les eaux usées de lutte contre l’incendie contaminent l’environnement.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Protection en cas d’incendie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Ne pas pénétrer dans la zone de feu sans équipement de protection, y compris une </w:t>
            </w:r>
            <w:r>
              <w:rPr>
                <w:lang w:val="en-GB" w:eastAsia="fr-FR" w:bidi="ar-SA"/>
              </w:rPr>
              <w:t>protection respiratoire.</w:t>
            </w:r>
          </w:p>
        </w:tc>
      </w:tr>
    </w:tbl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6</w:t>
      </w:r>
      <w:r>
        <w:rPr>
          <w:lang w:val="fr-BE"/>
        </w:rPr>
        <w:t xml:space="preserve">: </w:t>
      </w:r>
      <w:r>
        <w:rPr>
          <w:lang w:val="fr-BE"/>
        </w:rPr>
        <w:t>Mesures à prendre en cas de dispersion accidentelle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6.1. </w:t>
      </w:r>
      <w:r>
        <w:rPr>
          <w:lang w:val="fr-BE"/>
        </w:rPr>
        <w:t>Précautions individuelles, équipement de protection et procédures d’urgence</w:t>
      </w:r>
    </w:p>
    <w:p w:rsidR="00EC34D3" w:rsidRDefault="00F35D2A">
      <w:pPr>
        <w:pStyle w:val="SDSTextHeading3"/>
      </w:pPr>
      <w:r>
        <w:t>6.1.1. Pour les non-secouristes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Procédures d’urgence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Eloigner le personnel superflu</w:t>
            </w:r>
            <w:r>
              <w:rPr>
                <w:lang w:val="fr-BE" w:eastAsia="fr-FR" w:bidi="ar-SA"/>
              </w:rPr>
              <w:t>.</w:t>
            </w:r>
          </w:p>
        </w:tc>
      </w:tr>
    </w:tbl>
    <w:p w:rsidR="00EC34D3" w:rsidRDefault="00F35D2A">
      <w:pPr>
        <w:pStyle w:val="SDSTextHeading3"/>
      </w:pPr>
      <w:r>
        <w:t>6.1.2. Pour les secouristes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Equipement de protection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Fournir une protection adéquate aux équipes de nettoyage.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Procédures d’urgence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Aérer la zone.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6.2. </w:t>
      </w:r>
      <w:r>
        <w:rPr>
          <w:lang w:val="en-GB"/>
        </w:rPr>
        <w:t>Précautions pour la protection de l’environnement</w:t>
      </w:r>
    </w:p>
    <w:p w:rsidR="00EC34D3" w:rsidRDefault="00F35D2A">
      <w:pPr>
        <w:pStyle w:val="SDSTextNormal"/>
      </w:pPr>
      <w:r>
        <w:t xml:space="preserve">Eviter la pénétration dans les égouts et les </w:t>
      </w:r>
      <w:r>
        <w:t>eaux potables. Avertir les autorités si le liquide pénètre dans les égouts ou dans les eaux du domaine public. Éviter le rejet dans l'environnement.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6.3. </w:t>
      </w:r>
      <w:r>
        <w:rPr>
          <w:lang w:val="en-GB"/>
        </w:rPr>
        <w:t>Méthodes et matériel de confinement et de nettoyage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Procédés de nettoyage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Sur le sol, balayer ou pel</w:t>
            </w:r>
            <w:r>
              <w:rPr>
                <w:lang w:val="fr-BE" w:eastAsia="fr-FR" w:bidi="ar-SA"/>
              </w:rPr>
              <w:t>leter dans des conteneurs de rejet adéquats. Réduire à un minimum la production de poussières. Stocker à l’écart des autres matières.</w:t>
            </w:r>
          </w:p>
        </w:tc>
      </w:tr>
    </w:tbl>
    <w:p w:rsidR="00EC34D3" w:rsidRDefault="00F35D2A">
      <w:pPr>
        <w:pStyle w:val="SDSTextHeading2"/>
        <w:rPr>
          <w:lang w:val="en-US"/>
        </w:rPr>
      </w:pPr>
      <w:r>
        <w:rPr>
          <w:lang w:val="en-GB"/>
        </w:rPr>
        <w:t xml:space="preserve">6.4. </w:t>
      </w:r>
      <w:r>
        <w:rPr>
          <w:lang w:val="en-US"/>
        </w:rPr>
        <w:t>Référence à d’autres rubriques</w:t>
      </w:r>
    </w:p>
    <w:p w:rsidR="00EC34D3" w:rsidRDefault="00F35D2A">
      <w:pPr>
        <w:pStyle w:val="SDSTextNormal"/>
        <w:rPr>
          <w:lang w:val="fr-BE"/>
        </w:rPr>
      </w:pPr>
      <w:r>
        <w:rPr>
          <w:lang w:val="fr-BE" w:eastAsia="fr-FR"/>
        </w:rPr>
        <w:t>Voir rubrique 8. Contrôle de l’exposition/protection individuelle.</w:t>
      </w:r>
    </w:p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7</w:t>
      </w:r>
      <w:r>
        <w:rPr>
          <w:lang w:val="fr-BE"/>
        </w:rPr>
        <w:t xml:space="preserve">: </w:t>
      </w:r>
      <w:r>
        <w:rPr>
          <w:lang w:val="fr-BE"/>
        </w:rPr>
        <w:t>Manipu</w:t>
      </w:r>
      <w:r>
        <w:rPr>
          <w:lang w:val="fr-BE"/>
        </w:rPr>
        <w:t>lation et stockage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7.1. </w:t>
      </w:r>
      <w:r>
        <w:rPr>
          <w:lang w:val="fr-BE"/>
        </w:rPr>
        <w:t>Précautions à prendre pour une manipulation sans danger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Précautions à prendre pour une manipulation sans danger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Se laver les mains et toute autre zone exposée avec un savon doux et de l’eau, avant de manger, de boire, de fumer, et</w:t>
            </w:r>
            <w:r>
              <w:rPr>
                <w:lang w:val="en-GB" w:eastAsia="fr-FR" w:bidi="ar-SA"/>
              </w:rPr>
              <w:t xml:space="preserve"> avant de quitter le travail. Assurer une bonne ventilation de la zone de travail afin d’éviter la formation de vapeurs.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7.2. </w:t>
      </w:r>
      <w:r>
        <w:rPr>
          <w:lang w:val="en-GB"/>
        </w:rPr>
        <w:t>Conditions d’un stockage sûr, y compris les éventuelles incompatibilités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Conditions de stockage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Conserver uniquement dans le ré</w:t>
            </w:r>
            <w:r>
              <w:rPr>
                <w:lang w:val="en-GB" w:eastAsia="fr-FR" w:bidi="ar-SA"/>
              </w:rPr>
              <w:t>cipient d’origine dans un endroit frais et bien ventilé à l’écart des : Garder les conteneurs fermés en dehors de leur utilisation.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Produits incompatibles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Bases fortes. Acides forts.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Matières incompatibles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Sources d’inflammation. Rayons directs du </w:t>
            </w:r>
            <w:r>
              <w:rPr>
                <w:lang w:val="en-GB" w:eastAsia="fr-FR" w:bidi="ar-SA"/>
              </w:rPr>
              <w:t>soleil.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Durée de stockage maximale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6 mois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7.3. </w:t>
      </w:r>
      <w:r>
        <w:rPr>
          <w:lang w:val="en-GB"/>
        </w:rPr>
        <w:t>Utilisation(s) finale(s) particulière(s)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lastRenderedPageBreak/>
        <w:t>RUBRIQUE 8</w:t>
      </w:r>
      <w:r>
        <w:rPr>
          <w:lang w:val="fr-BE"/>
        </w:rPr>
        <w:t xml:space="preserve">: </w:t>
      </w:r>
      <w:r>
        <w:rPr>
          <w:lang w:val="fr-BE"/>
        </w:rPr>
        <w:t>Contrôles de l’exposition/protection individuelle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8.1. </w:t>
      </w:r>
      <w:r>
        <w:rPr>
          <w:lang w:val="fr-BE"/>
        </w:rPr>
        <w:t>Paramètres de contrôle</w:t>
      </w:r>
    </w:p>
    <w:p w:rsidR="00EC34D3" w:rsidRDefault="00F35D2A">
      <w:pPr>
        <w:pStyle w:val="SDSTextHeading3"/>
        <w:rPr>
          <w:lang w:val="en-US"/>
        </w:rPr>
      </w:pPr>
      <w:r>
        <w:rPr>
          <w:lang w:val="en-US"/>
        </w:rPr>
        <w:t xml:space="preserve">8.1.1 </w:t>
      </w:r>
      <w:bookmarkStart w:id="2" w:name="_Hlk54076387"/>
      <w:r>
        <w:rPr>
          <w:lang w:val="en-US" w:eastAsia="fr-FR"/>
        </w:rPr>
        <w:t>Valeurs limites natio</w:t>
      </w:r>
      <w:r>
        <w:rPr>
          <w:lang w:val="en-US" w:eastAsia="fr-FR"/>
        </w:rPr>
        <w:t>nales d’exposition professionnelle et biologiques</w:t>
      </w:r>
      <w:bookmarkEnd w:id="2"/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3"/>
      </w:pPr>
      <w:r>
        <w:t xml:space="preserve">8.1.2. </w:t>
      </w:r>
      <w:bookmarkStart w:id="3" w:name="_Hlk54076527"/>
      <w:r>
        <w:t>Procédures de suivi recommandées</w:t>
      </w:r>
      <w:bookmarkEnd w:id="3"/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3"/>
      </w:pPr>
      <w:r>
        <w:t xml:space="preserve">8.1.3. </w:t>
      </w:r>
      <w:bookmarkStart w:id="4" w:name="_Hlk54076613"/>
      <w:r>
        <w:t>Contaminants atmosphériques formés</w:t>
      </w:r>
      <w:bookmarkEnd w:id="4"/>
    </w:p>
    <w:p w:rsidR="00EC34D3" w:rsidRDefault="00F35D2A">
      <w:pPr>
        <w:pStyle w:val="SDSTextNormal"/>
      </w:pPr>
      <w:r>
        <w:t>Pas d’informations complémenta</w:t>
      </w:r>
      <w:r>
        <w:t>ires disponibles</w:t>
      </w:r>
    </w:p>
    <w:p w:rsidR="00EC34D3" w:rsidRDefault="00F35D2A">
      <w:pPr>
        <w:pStyle w:val="SDSTextHeading3"/>
      </w:pPr>
      <w:r>
        <w:t xml:space="preserve">8.1.4. </w:t>
      </w:r>
      <w:bookmarkStart w:id="5" w:name="_Hlk54076910"/>
      <w:r>
        <w:t>DNEL et PNEC</w:t>
      </w:r>
      <w:bookmarkEnd w:id="5"/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3"/>
      </w:pPr>
      <w:r>
        <w:t xml:space="preserve">8.1.5. </w:t>
      </w:r>
      <w:bookmarkStart w:id="6" w:name="_Hlk54076968"/>
      <w:r>
        <w:t>Bande de contrôle</w:t>
      </w:r>
      <w:bookmarkEnd w:id="6"/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8.2. </w:t>
      </w:r>
      <w:r>
        <w:rPr>
          <w:lang w:val="fr-BE"/>
        </w:rPr>
        <w:t>Contrôles de l’exposition</w:t>
      </w:r>
    </w:p>
    <w:p w:rsidR="00EC34D3" w:rsidRDefault="00F35D2A">
      <w:pPr>
        <w:pStyle w:val="SDSTextHeading3"/>
        <w:rPr>
          <w:lang w:val="fr-BE"/>
        </w:rPr>
      </w:pPr>
      <w:r>
        <w:rPr>
          <w:lang w:val="fr-BE"/>
        </w:rPr>
        <w:t xml:space="preserve">8.2.1. </w:t>
      </w:r>
      <w:r>
        <w:rPr>
          <w:lang w:val="fr-BE" w:eastAsia="fr-FR"/>
        </w:rPr>
        <w:t>Contrôles techniques appropriés</w:t>
      </w:r>
    </w:p>
    <w:p w:rsidR="00EC34D3" w:rsidRDefault="00F35D2A">
      <w:pPr>
        <w:pStyle w:val="SDSTextNormal"/>
      </w:pPr>
      <w:r>
        <w:t xml:space="preserve">Pas d’informations </w:t>
      </w:r>
      <w:r>
        <w:t>complémentaires disponibles</w:t>
      </w:r>
    </w:p>
    <w:p w:rsidR="00EC34D3" w:rsidRDefault="00F35D2A">
      <w:pPr>
        <w:pStyle w:val="SDSTextHeading3"/>
      </w:pPr>
      <w:r>
        <w:t>8.2.2. Équipements de protection individuelle</w:t>
      </w: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Bold"/>
            </w:pPr>
            <w:r>
              <w:rPr>
                <w:lang w:val="en-GB" w:eastAsia="fr-FR" w:bidi="ar-SA"/>
              </w:rPr>
              <w:t>Equipement de protection individuelle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Eviter toute exposition inutile.</w:t>
            </w:r>
          </w:p>
        </w:tc>
      </w:tr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Bold"/>
            </w:pPr>
            <w:r>
              <w:rPr>
                <w:lang w:val="en-GB" w:eastAsia="fr-FR" w:bidi="ar-SA"/>
              </w:rPr>
              <w:t>Symbole(s) de l’équipement de protection individuelle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Normal"/>
              <w:rPr>
                <w:b/>
                <w:bCs/>
                <w:lang w:val="en-GB" w:eastAsia="nl-NL" w:bidi="ar-SA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635000" cy="6350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4D3" w:rsidRDefault="00F35D2A">
      <w:pPr>
        <w:pStyle w:val="SDSTextHeading4"/>
      </w:pPr>
      <w:r>
        <w:t>8.2.2.1. Protection des yeux et du visage</w:t>
      </w: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EC34D3">
        <w:trPr>
          <w:cantSplit/>
        </w:trPr>
        <w:tc>
          <w:tcPr>
            <w:tcW w:w="10489" w:type="dxa"/>
          </w:tcPr>
          <w:p w:rsidR="00EC34D3" w:rsidRDefault="00F35D2A">
            <w:pPr>
              <w:pStyle w:val="SDSTableTextBold"/>
            </w:pPr>
            <w:r>
              <w:rPr>
                <w:lang w:val="en-GB" w:eastAsia="fr-FR" w:bidi="ar-SA"/>
              </w:rPr>
              <w:t>Protection oculaire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0489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Lunettes anti-éclaboussures ou lunettes de sécurité</w:t>
            </w:r>
          </w:p>
        </w:tc>
      </w:tr>
    </w:tbl>
    <w:p w:rsidR="00EC34D3" w:rsidRDefault="00F35D2A">
      <w:pPr>
        <w:pStyle w:val="SDSTextHeading4"/>
      </w:pPr>
      <w:r>
        <w:t>8.2.2.2. Protection de la peau</w:t>
      </w: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Bold"/>
            </w:pPr>
            <w:r>
              <w:rPr>
                <w:lang w:val="en-GB" w:eastAsia="fr-FR" w:bidi="ar-SA"/>
              </w:rPr>
              <w:t>Protection des mains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Porter des gants de protection.</w:t>
            </w:r>
          </w:p>
        </w:tc>
      </w:tr>
    </w:tbl>
    <w:p w:rsidR="00EC34D3" w:rsidRDefault="00F35D2A">
      <w:pPr>
        <w:pStyle w:val="SDSTextHeading4"/>
      </w:pPr>
      <w:r>
        <w:t>8.2.2.3. Protection des voies respiratoires</w:t>
      </w: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EC34D3">
        <w:trPr>
          <w:cantSplit/>
        </w:trPr>
        <w:tc>
          <w:tcPr>
            <w:tcW w:w="10489" w:type="dxa"/>
          </w:tcPr>
          <w:p w:rsidR="00EC34D3" w:rsidRDefault="00F35D2A">
            <w:pPr>
              <w:pStyle w:val="SDSTableTextBold"/>
            </w:pPr>
            <w:r>
              <w:rPr>
                <w:lang w:val="en-GB" w:eastAsia="fr-FR" w:bidi="ar-SA"/>
              </w:rPr>
              <w:t>Protection des voies respiratoires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0489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Porter un </w:t>
            </w:r>
            <w:r>
              <w:rPr>
                <w:lang w:val="en-GB" w:eastAsia="fr-FR" w:bidi="ar-SA"/>
              </w:rPr>
              <w:t>masque approprié</w:t>
            </w:r>
          </w:p>
        </w:tc>
      </w:tr>
    </w:tbl>
    <w:p w:rsidR="00EC34D3" w:rsidRDefault="00F35D2A">
      <w:pPr>
        <w:pStyle w:val="SDSTextHeading4"/>
      </w:pPr>
      <w:r>
        <w:t>8.2.2.4. Protection contre les risques thermiques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3"/>
      </w:pPr>
      <w:r>
        <w:t>8.2.3. Contrôle de l’exposition de l’environnement</w:t>
      </w:r>
    </w:p>
    <w:tbl>
      <w:tblPr>
        <w:tblW w:w="10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Bold"/>
            </w:pPr>
            <w:r>
              <w:rPr>
                <w:lang w:val="en-GB" w:eastAsia="fr-FR" w:bidi="ar-SA"/>
              </w:rPr>
              <w:t>Autres informations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0488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Ne pas manger, ne pas boire et ne pas fumer pendant l’utilisation.</w:t>
            </w:r>
          </w:p>
        </w:tc>
      </w:tr>
    </w:tbl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9</w:t>
      </w:r>
      <w:r>
        <w:rPr>
          <w:lang w:val="fr-BE"/>
        </w:rPr>
        <w:t xml:space="preserve">: </w:t>
      </w:r>
      <w:r>
        <w:rPr>
          <w:lang w:val="fr-BE"/>
        </w:rPr>
        <w:t>Propriétés physiques et chimiques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9.1. </w:t>
      </w:r>
      <w:r>
        <w:rPr>
          <w:lang w:val="fr-BE"/>
        </w:rPr>
        <w:t>Informations sur les propriétés physiques et chimiques essentielles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État physique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Solide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Couleur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ivoire.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Odeur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caractéristique.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Seuil olfactif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Point de fusion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Point de congélation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lastRenderedPageBreak/>
              <w:t>Point d’ébullition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Inflammabilité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Ininflammable.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Limite inférieure d’explosion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Non applicable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Limite supérieure d’explosion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Non applicable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Point d’éclair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&gt; 200 °C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Température </w:t>
            </w:r>
            <w:r>
              <w:rPr>
                <w:lang w:val="en-GB" w:eastAsia="fr-FR" w:bidi="ar-SA"/>
              </w:rPr>
              <w:t>d’auto-inflammation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Non applicable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Température de décomposition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pH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pH solution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Viscosité, cinématique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Non applicable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Solubilité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déterminé.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Coefficient de partage n-octanol/eau (Log Kow)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Pression de vapeur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Pression de vapeur à 50°C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Masse volumique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Densité relative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déterminé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nl-BE" w:eastAsia="nl-NL" w:bidi="ar-SA"/>
              </w:rPr>
            </w:pPr>
            <w:r>
              <w:rPr>
                <w:lang w:val="nl-BE" w:eastAsia="fr-FR" w:bidi="ar-SA"/>
              </w:rPr>
              <w:t>Densité relative de vapeur à 20°C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Non applicable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Taille d’une particule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Pas disponible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9.2. </w:t>
      </w:r>
      <w:r>
        <w:rPr>
          <w:lang w:val="en-GB"/>
        </w:rPr>
        <w:t>Autres informations</w:t>
      </w:r>
    </w:p>
    <w:p w:rsidR="00EC34D3" w:rsidRDefault="00F35D2A">
      <w:pPr>
        <w:pStyle w:val="SDSTextHeading3"/>
      </w:pPr>
      <w:r>
        <w:t xml:space="preserve">9.2.1. </w:t>
      </w:r>
      <w:bookmarkStart w:id="7" w:name="_Hlk54084650"/>
      <w:r>
        <w:t>Informations concernant les classes de danger physique</w:t>
      </w:r>
      <w:bookmarkEnd w:id="7"/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3"/>
      </w:pPr>
      <w:r>
        <w:t>9.2.2. Autres caractéristiques de sécurité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Indice de réfraction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déterminé</w:t>
            </w:r>
          </w:p>
        </w:tc>
      </w:tr>
    </w:tbl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10</w:t>
      </w:r>
      <w:r>
        <w:rPr>
          <w:lang w:val="fr-BE"/>
        </w:rPr>
        <w:t xml:space="preserve">: </w:t>
      </w:r>
      <w:r>
        <w:rPr>
          <w:lang w:val="fr-BE"/>
        </w:rPr>
        <w:t>Stabilité et réactivité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10.1. </w:t>
      </w:r>
      <w:r>
        <w:rPr>
          <w:lang w:val="fr-BE"/>
        </w:rPr>
        <w:t>Réactivité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10.2. </w:t>
      </w:r>
      <w:r>
        <w:rPr>
          <w:lang w:val="en-GB"/>
        </w:rPr>
        <w:t>Stabilité chimique</w:t>
      </w:r>
    </w:p>
    <w:p w:rsidR="00EC34D3" w:rsidRDefault="00F35D2A">
      <w:pPr>
        <w:pStyle w:val="SDSTextNormal"/>
      </w:pPr>
      <w:r>
        <w:t>Non établi.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10.3. </w:t>
      </w:r>
      <w:r>
        <w:rPr>
          <w:lang w:val="en-GB"/>
        </w:rPr>
        <w:t>Possibilité de réactions dangereuses</w:t>
      </w:r>
    </w:p>
    <w:p w:rsidR="00EC34D3" w:rsidRDefault="00F35D2A">
      <w:pPr>
        <w:pStyle w:val="SDSTextNormal"/>
      </w:pPr>
      <w:r>
        <w:t>Non établi.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10.4. </w:t>
      </w:r>
      <w:r>
        <w:rPr>
          <w:lang w:val="en-GB"/>
        </w:rPr>
        <w:t>Conditions à éviter</w:t>
      </w:r>
    </w:p>
    <w:p w:rsidR="00EC34D3" w:rsidRDefault="00F35D2A">
      <w:pPr>
        <w:pStyle w:val="SDSTextNormal"/>
      </w:pPr>
      <w:r>
        <w:t xml:space="preserve">Rayons directs du soleil. Températures extrêmement élevées ou extrêmement </w:t>
      </w:r>
      <w:r>
        <w:t>basses.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10.5. </w:t>
      </w:r>
      <w:r>
        <w:rPr>
          <w:lang w:val="en-GB"/>
        </w:rPr>
        <w:t>Matières incompatibles</w:t>
      </w:r>
    </w:p>
    <w:p w:rsidR="00EC34D3" w:rsidRDefault="00F35D2A">
      <w:pPr>
        <w:pStyle w:val="SDSTextNormal"/>
      </w:pPr>
      <w:r>
        <w:t>Acides forts. Bases fortes.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10.6. </w:t>
      </w:r>
      <w:r>
        <w:rPr>
          <w:lang w:val="en-GB"/>
        </w:rPr>
        <w:t>Produits de décomposition dangereux</w:t>
      </w:r>
    </w:p>
    <w:p w:rsidR="00EC34D3" w:rsidRDefault="00F35D2A">
      <w:pPr>
        <w:pStyle w:val="SDSTextNormal"/>
      </w:pPr>
      <w:r>
        <w:t>fumée. Monoxyde de carbone. Dioxyde de carbone.</w:t>
      </w:r>
    </w:p>
    <w:p w:rsidR="00EC34D3" w:rsidRDefault="00F35D2A">
      <w:pPr>
        <w:pStyle w:val="SDSTextHeading1"/>
        <w:rPr>
          <w:lang w:val="en-US"/>
        </w:rPr>
      </w:pPr>
      <w:r>
        <w:rPr>
          <w:lang w:val="en-US"/>
        </w:rPr>
        <w:t>RUBRIQUE 11</w:t>
      </w:r>
      <w:r>
        <w:rPr>
          <w:lang w:val="en-US"/>
        </w:rPr>
        <w:t xml:space="preserve">: </w:t>
      </w:r>
      <w:r>
        <w:rPr>
          <w:lang w:val="en-US"/>
        </w:rPr>
        <w:t>Informations toxicologiques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11.1. </w:t>
      </w:r>
      <w:r>
        <w:rPr>
          <w:lang w:val="en-GB"/>
        </w:rPr>
        <w:t xml:space="preserve">Informations sur les classes de danger telles que </w:t>
      </w:r>
      <w:r>
        <w:rPr>
          <w:lang w:val="en-GB"/>
        </w:rPr>
        <w:t>définies dans le règlement (CE) n° 1272/2008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Toxicité aiguë (orale)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Toxicité aiguë (cutanée)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Toxicité aiguë (Inhalation)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</w:tbl>
    <w:p w:rsidR="00EC34D3" w:rsidRDefault="00EC34D3">
      <w:pPr>
        <w:pStyle w:val="SDSTextBlankLine"/>
      </w:pP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FIXOLIDE (1506-02-1)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DL50 orale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1000 mg/kg de poids corporel</w:t>
            </w:r>
          </w:p>
        </w:tc>
      </w:tr>
    </w:tbl>
    <w:p w:rsidR="00EC34D3" w:rsidRDefault="00EC34D3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Corrosion cutanée/irritation</w:t>
            </w:r>
            <w:r>
              <w:rPr>
                <w:lang w:val="en-GB" w:eastAsia="fr-FR" w:bidi="ar-SA"/>
              </w:rPr>
              <w:t xml:space="preserve"> cutanée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lastRenderedPageBreak/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EC34D3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Lésions oculaires graves/irritation oculaire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tenu des données </w:t>
            </w:r>
            <w:r>
              <w:rPr>
                <w:lang w:val="en-GB" w:eastAsia="fr-FR" w:bidi="ar-SA"/>
              </w:rPr>
              <w:t>disponibles, les critères de classification ne sont pas remplis</w:t>
            </w:r>
          </w:p>
        </w:tc>
      </w:tr>
    </w:tbl>
    <w:p w:rsidR="00EC34D3" w:rsidRDefault="00EC34D3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Sensibilisation respiratoire ou cutanée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fr-BE" w:eastAsia="nl-NL" w:bidi="ar-SA"/>
              </w:rPr>
            </w:pPr>
            <w:r>
              <w:rPr>
                <w:lang w:val="fr-BE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EC34D3">
      <w:pPr>
        <w:pStyle w:val="SDSTextBlankLine"/>
        <w:rPr>
          <w:lang w:val="es-AR"/>
        </w:rPr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Mutagénicité sur</w:t>
            </w:r>
            <w:r>
              <w:rPr>
                <w:lang w:val="en-GB" w:eastAsia="fr-FR" w:bidi="ar-SA"/>
              </w:rPr>
              <w:t xml:space="preserve"> les cellules germinales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EC34D3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Cancérogénicité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tenu des données disponibles, </w:t>
            </w:r>
            <w:r>
              <w:rPr>
                <w:lang w:val="en-GB" w:eastAsia="fr-FR" w:bidi="ar-SA"/>
              </w:rPr>
              <w:t>les critères de classification ne sont pas remplis</w:t>
            </w:r>
            <w:r>
              <w:rPr>
                <w:lang w:val="en-GB" w:eastAsia="nl-NL" w:bidi="ar-SA"/>
              </w:rPr>
              <w:t xml:space="preserve"> </w:t>
            </w:r>
          </w:p>
        </w:tc>
      </w:tr>
    </w:tbl>
    <w:p w:rsidR="00EC34D3" w:rsidRDefault="00EC34D3">
      <w:pPr>
        <w:pStyle w:val="SDSTextBlankLine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Toxicité pour la reproduction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EC34D3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Toxicité spécifique pour certains </w:t>
            </w:r>
            <w:r>
              <w:rPr>
                <w:lang w:val="en-GB" w:eastAsia="fr-FR" w:bidi="ar-SA"/>
              </w:rPr>
              <w:t>organes cibles (STOT) (exposition unique)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EC34D3">
      <w:pPr>
        <w:pStyle w:val="SDSTextBlankLine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Toxicité spécifique pour certains organes cibles (STOT) (exposition répétée)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3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EC34D3">
      <w:pPr>
        <w:pStyle w:val="SDSTextBlankLine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Danger par aspiration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Compte tenu des données disponibles, les critères de </w:t>
            </w:r>
            <w:r>
              <w:rPr>
                <w:lang w:val="en-GB" w:eastAsia="fr-FR" w:bidi="ar-SA"/>
              </w:rPr>
              <w:t>classification ne sont pas remplis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11.2. </w:t>
      </w:r>
      <w:bookmarkStart w:id="8" w:name="_Hlk54089399"/>
      <w:r>
        <w:rPr>
          <w:lang w:val="en-GB"/>
        </w:rPr>
        <w:t>Informations sur les autres dangers</w:t>
      </w:r>
      <w:bookmarkEnd w:id="8"/>
    </w:p>
    <w:p w:rsidR="00EC34D3" w:rsidRDefault="00F35D2A">
      <w:pPr>
        <w:pStyle w:val="SDSTextHeading3"/>
      </w:pPr>
      <w:r>
        <w:t>11.2.1. Propriétés perturbant le système endocrinien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3"/>
      </w:pPr>
      <w:r>
        <w:rPr>
          <w:rStyle w:val="SDSTextNormalChar"/>
        </w:rPr>
        <w:t xml:space="preserve">11.2.2. </w:t>
      </w:r>
      <w:bookmarkStart w:id="9" w:name="_Hlk54089489"/>
      <w:r>
        <w:rPr>
          <w:rStyle w:val="SDSTextNormalChar"/>
        </w:rPr>
        <w:t>Autres informations</w:t>
      </w:r>
      <w:bookmarkStart w:id="10" w:name="_Hlk54089553"/>
      <w:bookmarkEnd w:id="9"/>
      <w:bookmarkEnd w:id="10"/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Effets néfastes potentiels sur la santé humaine et</w:t>
            </w:r>
            <w:r>
              <w:rPr>
                <w:lang w:val="en-GB" w:eastAsia="fr-FR" w:bidi="ar-SA"/>
              </w:rPr>
              <w:t xml:space="preserve"> symptômes possibles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tabs>
                <w:tab w:val="left" w:pos="4340"/>
              </w:tabs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Compte tenu des données disponibles, les critères de classification ne sont pas remplis</w:t>
            </w:r>
          </w:p>
        </w:tc>
      </w:tr>
    </w:tbl>
    <w:p w:rsidR="00EC34D3" w:rsidRDefault="00F35D2A">
      <w:pPr>
        <w:pStyle w:val="SDSTextHeading1"/>
        <w:rPr>
          <w:lang w:val="en-US"/>
        </w:rPr>
      </w:pPr>
      <w:r>
        <w:rPr>
          <w:lang w:val="en-US"/>
        </w:rPr>
        <w:t>RUBRIQUE 12</w:t>
      </w:r>
      <w:r>
        <w:rPr>
          <w:lang w:val="en-US"/>
        </w:rPr>
        <w:t xml:space="preserve">: </w:t>
      </w:r>
      <w:r>
        <w:rPr>
          <w:lang w:val="en-US"/>
        </w:rPr>
        <w:t>Informations écologiques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12.1. </w:t>
      </w:r>
      <w:r>
        <w:rPr>
          <w:lang w:val="en-GB"/>
        </w:rPr>
        <w:t>Toxicité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0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Ecologie - eau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Nocif pour les organismes aquatiques, entraîne des effets néfastes à long </w:t>
            </w:r>
            <w:r>
              <w:rPr>
                <w:lang w:val="en-GB" w:eastAsia="fr-FR" w:bidi="ar-SA"/>
              </w:rPr>
              <w:t>terme.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Dangers pour le milieu aquatique, à court terme (aiguë)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classé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Dangers pour le milieu aquatique, à long terme (chronique)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Nocif pour les organismes aquatiques, entraîne des effets néfastes à long terme.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12.2. </w:t>
      </w:r>
      <w:r>
        <w:rPr>
          <w:lang w:val="en-GB"/>
        </w:rPr>
        <w:t>Persistance et dégradabilité</w:t>
      </w: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</w:pPr>
            <w:r>
              <w:rPr>
                <w:lang w:val="en-GB" w:eastAsia="fr-FR" w:bidi="ar-SA"/>
              </w:rPr>
              <w:t>FDS 10% - Ambre</w:t>
            </w:r>
            <w:r>
              <w:rPr>
                <w:lang w:val="en-GB" w:eastAsia="nl-NL" w:bidi="ar-SA"/>
              </w:rPr>
              <w:t xml:space="preserve"> 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Persistance et dégradabilité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Peut entraîner des effets néfastes à long terme pour l’environnement.</w:t>
            </w:r>
          </w:p>
        </w:tc>
      </w:tr>
    </w:tbl>
    <w:p w:rsidR="00EC34D3" w:rsidRDefault="00EC34D3">
      <w:pPr>
        <w:pStyle w:val="SDSTextBlankLine"/>
      </w:pP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FIXOLIDE (1506-02-1)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Persistance et dégradabilité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Peut entraîner des effets néfastes à long terme pour l’environnement.</w:t>
            </w:r>
          </w:p>
        </w:tc>
      </w:tr>
    </w:tbl>
    <w:p w:rsidR="00EC34D3" w:rsidRDefault="00EC34D3">
      <w:pPr>
        <w:pStyle w:val="SDSTextBlankLine"/>
      </w:pP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GALAXOLIDE </w:t>
            </w:r>
            <w:r>
              <w:rPr>
                <w:lang w:val="en-GB" w:eastAsia="fr-FR" w:bidi="ar-SA"/>
              </w:rPr>
              <w:t>(1222-05-5)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Persistance et dégradabilité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Peut entraîner des effets néfastes à long terme pour l’environnement.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12.3. </w:t>
      </w:r>
      <w:r>
        <w:rPr>
          <w:lang w:val="en-GB"/>
        </w:rPr>
        <w:t>Potentiel de bioaccumulation</w:t>
      </w: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</w:pPr>
            <w:r>
              <w:rPr>
                <w:lang w:val="en-GB" w:eastAsia="fr-FR" w:bidi="ar-SA"/>
              </w:rPr>
              <w:t>FDS 10% - Ambre</w:t>
            </w:r>
            <w:r>
              <w:rPr>
                <w:lang w:val="en-GB" w:eastAsia="nl-NL" w:bidi="ar-SA"/>
              </w:rPr>
              <w:t xml:space="preserve"> 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Potentiel de bioaccumulation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établi.</w:t>
            </w:r>
          </w:p>
        </w:tc>
      </w:tr>
    </w:tbl>
    <w:p w:rsidR="00EC34D3" w:rsidRDefault="00EC34D3">
      <w:pPr>
        <w:pStyle w:val="SDSTextBlankLine"/>
      </w:pP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FIXOLIDE (1506-02-1)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Potentiel de </w:t>
            </w:r>
            <w:r>
              <w:rPr>
                <w:lang w:val="en-GB" w:eastAsia="fr-FR" w:bidi="ar-SA"/>
              </w:rPr>
              <w:t>bioaccumulation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établi.</w:t>
            </w:r>
          </w:p>
        </w:tc>
      </w:tr>
    </w:tbl>
    <w:p w:rsidR="00EC34D3" w:rsidRDefault="00EC34D3">
      <w:pPr>
        <w:pStyle w:val="SDSTextBlankLine"/>
      </w:pPr>
    </w:p>
    <w:tbl>
      <w:tblPr>
        <w:tblW w:w="10489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6520"/>
      </w:tblGrid>
      <w:tr w:rsidR="00EC34D3">
        <w:trPr>
          <w:cantSplit/>
          <w:tblHeader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lastRenderedPageBreak/>
              <w:t>GALAXOLIDE (1222-05-5)</w:t>
            </w:r>
          </w:p>
        </w:tc>
      </w:tr>
      <w:tr w:rsidR="00EC34D3">
        <w:trPr>
          <w:cantSplit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Potentiel de bioaccumulation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établi.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12.4. </w:t>
      </w:r>
      <w:r>
        <w:rPr>
          <w:lang w:val="en-GB"/>
        </w:rPr>
        <w:t>Mobilité dans le sol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12.5. </w:t>
      </w:r>
      <w:r>
        <w:rPr>
          <w:lang w:val="en-GB"/>
        </w:rPr>
        <w:t>Résultats des évaluations PBT et vPvB</w:t>
      </w:r>
    </w:p>
    <w:p w:rsidR="00EC34D3" w:rsidRDefault="00F35D2A">
      <w:pPr>
        <w:pStyle w:val="SDSTextNormal"/>
      </w:pPr>
      <w:r>
        <w:t xml:space="preserve">Pas d’informations complémentaires </w:t>
      </w:r>
      <w:r>
        <w:t>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12.6. </w:t>
      </w:r>
      <w:r>
        <w:rPr>
          <w:lang w:val="en-GB"/>
        </w:rPr>
        <w:t>Propriétés perturbant le système endocrinien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12.7. </w:t>
      </w:r>
      <w:r>
        <w:rPr>
          <w:lang w:val="en-GB"/>
        </w:rPr>
        <w:t>Autres effets néfastes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Indications complémentaires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Éviter le rejet dans l’environnement.</w:t>
            </w:r>
          </w:p>
        </w:tc>
      </w:tr>
    </w:tbl>
    <w:p w:rsidR="00EC34D3" w:rsidRDefault="00F35D2A">
      <w:pPr>
        <w:pStyle w:val="SDSTextHeading1"/>
        <w:rPr>
          <w:lang w:val="fr-BE"/>
        </w:rPr>
      </w:pPr>
      <w:bookmarkStart w:id="11" w:name="_Hlk54090163"/>
      <w:bookmarkEnd w:id="11"/>
      <w:r>
        <w:rPr>
          <w:lang w:val="fr-BE"/>
        </w:rPr>
        <w:t>RUBRIQUE 13</w:t>
      </w:r>
      <w:r>
        <w:rPr>
          <w:lang w:val="fr-BE"/>
        </w:rPr>
        <w:t xml:space="preserve">: </w:t>
      </w:r>
      <w:r>
        <w:rPr>
          <w:lang w:val="fr-BE"/>
        </w:rPr>
        <w:t xml:space="preserve">Considérations relatives à </w:t>
      </w:r>
      <w:r>
        <w:rPr>
          <w:lang w:val="fr-BE"/>
        </w:rPr>
        <w:t>l’élimination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13.1. </w:t>
      </w:r>
      <w:r>
        <w:rPr>
          <w:lang w:val="fr-BE"/>
        </w:rPr>
        <w:t>Méthodes de traitement des déchets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Recommandations pour le traitement du produit/emballage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Eliminer conformément aux règlements de sécurité locaux/nationaux en vigueur. Éliminer le contenu/récipient dans un centre de collecte de déche</w:t>
            </w:r>
            <w:r>
              <w:rPr>
                <w:lang w:val="en-GB" w:eastAsia="fr-FR" w:bidi="ar-SA"/>
              </w:rPr>
              <w:t>ts dangereux ou spéciaux, conformément à la réglementation locale, régionale, nationale et/ou internationale.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Ecologie - déchets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Éviter le rejet dans l’environnement.</w:t>
            </w:r>
          </w:p>
        </w:tc>
      </w:tr>
    </w:tbl>
    <w:p w:rsidR="00EC34D3" w:rsidRDefault="00F35D2A">
      <w:pPr>
        <w:pStyle w:val="SDSTextHeading1"/>
        <w:rPr>
          <w:lang w:val="en-US"/>
        </w:rPr>
      </w:pPr>
      <w:r>
        <w:rPr>
          <w:lang w:val="en-US"/>
        </w:rPr>
        <w:t>RUBRIQUE 14</w:t>
      </w:r>
      <w:r>
        <w:rPr>
          <w:lang w:val="en-US"/>
        </w:rPr>
        <w:t xml:space="preserve">: </w:t>
      </w:r>
      <w:r>
        <w:rPr>
          <w:lang w:val="en-US"/>
        </w:rPr>
        <w:t>Informations relatives au transport</w:t>
      </w:r>
    </w:p>
    <w:p w:rsidR="00EC34D3" w:rsidRDefault="00F35D2A">
      <w:pPr>
        <w:pStyle w:val="SDSTextNormal"/>
      </w:pPr>
      <w:r>
        <w:t>En conformité avec: ADR / IMDG / IAT</w:t>
      </w:r>
      <w:r>
        <w:t>A / ADN / RID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14.1. </w:t>
      </w:r>
      <w:r>
        <w:rPr>
          <w:lang w:val="en-GB"/>
        </w:rPr>
        <w:t>Numéro ONU ou numéro d’identification</w:t>
      </w:r>
    </w:p>
    <w:p w:rsidR="00EC34D3" w:rsidRDefault="00F35D2A">
      <w:pPr>
        <w:pStyle w:val="SDSTextNormal"/>
        <w:rPr>
          <w:lang w:val="pt-BR"/>
        </w:rPr>
      </w:pPr>
      <w:r>
        <w:t>Non réglementé pour le transport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14.2. </w:t>
      </w:r>
      <w:r>
        <w:rPr>
          <w:lang w:val="en-GB"/>
        </w:rPr>
        <w:t>Désignation officielle de transport de l’ONU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Désignation officielle de transport (ADR)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Désignation officielle de transport (IMDG)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r>
              <w:rPr>
                <w:lang w:val="en-GB" w:eastAsia="fr-FR" w:bidi="ar-SA"/>
              </w:rPr>
              <w:t>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Désignation officielle de transport (IATA)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Désignation officielle de transport (ADN)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Désignation officielle de transport (RID)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14.3. </w:t>
      </w:r>
      <w:r>
        <w:rPr>
          <w:lang w:val="en-GB"/>
        </w:rPr>
        <w:t>Classe(s) de danger pour le transport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10491" w:type="dxa"/>
            <w:gridSpan w:val="3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ADR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Classe(s) de </w:t>
            </w:r>
            <w:r>
              <w:rPr>
                <w:lang w:val="en-GB" w:eastAsia="fr-FR" w:bidi="ar-SA"/>
              </w:rPr>
              <w:t>danger pour le transport (ADR)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10491" w:type="dxa"/>
            <w:gridSpan w:val="3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IMDG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Classe(s) de danger pour le transport (IMDG)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10491" w:type="dxa"/>
            <w:gridSpan w:val="3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IATA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Classe(s) de danger pour le transport (IATA)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10491" w:type="dxa"/>
            <w:gridSpan w:val="3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ADN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Classe(s) de danger pour le transport (ADN)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10491" w:type="dxa"/>
            <w:gridSpan w:val="3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RID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Classe(s) de danger pour le transport (RID)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14.4. </w:t>
      </w:r>
      <w:r>
        <w:rPr>
          <w:lang w:val="en-GB"/>
        </w:rPr>
        <w:t>Groupe d’emballage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Groupe d’emballage (ADR)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lastRenderedPageBreak/>
              <w:t>Groupe d’emballage (IMDG)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Groupe d’emballage (IATA)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Groupe d’emballage (ADN)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r>
              <w:rPr>
                <w:lang w:val="en-GB" w:eastAsia="fr-FR" w:bidi="ar-SA"/>
              </w:rPr>
              <w:t>réglementé</w:t>
            </w:r>
          </w:p>
        </w:tc>
      </w:tr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Groupe d’emballage (RID)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14.5. </w:t>
      </w:r>
      <w:r>
        <w:rPr>
          <w:lang w:val="en-GB"/>
        </w:rPr>
        <w:t>Dangers pour l’environnement</w:t>
      </w: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6521"/>
      </w:tblGrid>
      <w:tr w:rsidR="00EC34D3">
        <w:trPr>
          <w:cantSplit/>
        </w:trPr>
        <w:tc>
          <w:tcPr>
            <w:tcW w:w="3686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Autres informations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1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Pas d’informations supplémentaires disponibles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14.6. </w:t>
      </w:r>
      <w:r>
        <w:rPr>
          <w:lang w:val="en-GB"/>
        </w:rPr>
        <w:t>Précautions particulières à prendre par l’utilisateur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Transport par voie terrestre</w:t>
            </w:r>
          </w:p>
        </w:tc>
      </w:tr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Non </w:t>
            </w:r>
            <w:r>
              <w:rPr>
                <w:lang w:val="en-GB" w:eastAsia="fr-FR" w:bidi="ar-SA"/>
              </w:rPr>
              <w:t>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Transport maritime</w:t>
            </w:r>
          </w:p>
        </w:tc>
      </w:tr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Transport aérien</w:t>
            </w:r>
          </w:p>
        </w:tc>
      </w:tr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Transport par voie fluviale</w:t>
            </w:r>
          </w:p>
        </w:tc>
      </w:tr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EC34D3">
      <w:pPr>
        <w:pStyle w:val="SDSTextNormal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Heading2"/>
              <w:rPr>
                <w:lang w:val="en-GB" w:eastAsia="fr-FR" w:bidi="ar-SA"/>
              </w:rPr>
            </w:pPr>
            <w:r>
              <w:rPr>
                <w:lang w:val="en-GB" w:eastAsia="fr-FR" w:bidi="ar-SA"/>
              </w:rPr>
              <w:t>Transport ferroviaire</w:t>
            </w:r>
          </w:p>
        </w:tc>
      </w:tr>
      <w:tr w:rsidR="00EC34D3">
        <w:trPr>
          <w:cantSplit/>
        </w:trPr>
        <w:tc>
          <w:tcPr>
            <w:tcW w:w="1049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Non réglementé</w:t>
            </w:r>
          </w:p>
        </w:tc>
      </w:tr>
    </w:tbl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14.7. </w:t>
      </w:r>
      <w:r>
        <w:rPr>
          <w:lang w:val="en-GB"/>
        </w:rPr>
        <w:t>Transport maritime en vrac conformément aux instruments de l’OMI</w:t>
      </w:r>
    </w:p>
    <w:p w:rsidR="00EC34D3" w:rsidRDefault="00F35D2A">
      <w:pPr>
        <w:pStyle w:val="SDSTextNormal"/>
      </w:pPr>
      <w:r>
        <w:t>Non applicable</w:t>
      </w:r>
    </w:p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15</w:t>
      </w:r>
      <w:r>
        <w:rPr>
          <w:lang w:val="fr-BE"/>
        </w:rPr>
        <w:t xml:space="preserve">: </w:t>
      </w:r>
      <w:r>
        <w:rPr>
          <w:lang w:val="fr-BE"/>
        </w:rPr>
        <w:t>Informations relatives à la réglementation</w:t>
      </w:r>
    </w:p>
    <w:p w:rsidR="00EC34D3" w:rsidRDefault="00F35D2A">
      <w:pPr>
        <w:pStyle w:val="SDSTextHeading2"/>
        <w:rPr>
          <w:lang w:val="fr-BE"/>
        </w:rPr>
      </w:pPr>
      <w:r>
        <w:rPr>
          <w:lang w:val="fr-BE"/>
        </w:rPr>
        <w:t xml:space="preserve">15.1. </w:t>
      </w:r>
      <w:r>
        <w:rPr>
          <w:lang w:val="fr-BE"/>
        </w:rPr>
        <w:t>Réglementations/législation particulières à la substance ou au mélange en matière de sécurité, de santé et d’environnement</w:t>
      </w:r>
    </w:p>
    <w:p w:rsidR="00EC34D3" w:rsidRDefault="00F35D2A">
      <w:pPr>
        <w:pStyle w:val="SDSTextHeading3"/>
      </w:pPr>
      <w:r>
        <w:t xml:space="preserve">15.1.1. </w:t>
      </w:r>
      <w:r>
        <w:rPr>
          <w:lang w:eastAsia="fr-FR"/>
        </w:rPr>
        <w:t>Réglementations UE</w:t>
      </w:r>
    </w:p>
    <w:p w:rsidR="00EC34D3" w:rsidRDefault="00F35D2A">
      <w:pPr>
        <w:pStyle w:val="SDSTextHeading4"/>
      </w:pPr>
      <w:r>
        <w:t>Annexe XVII de REACH (Liste de restriction)</w:t>
      </w:r>
    </w:p>
    <w:p w:rsidR="00EC34D3" w:rsidRDefault="00F35D2A">
      <w:pPr>
        <w:pStyle w:val="SDSTextNormal"/>
      </w:pPr>
      <w:r>
        <w:t>Ne contient pas de substance(s) listée(s) dans l’Annexe XVII de REACH (Conditions de restriction)</w:t>
      </w:r>
    </w:p>
    <w:p w:rsidR="00EC34D3" w:rsidRDefault="00F35D2A">
      <w:pPr>
        <w:pStyle w:val="SDSTextHeading4"/>
      </w:pPr>
      <w:r>
        <w:t>Annexe XIV de REACH (Liste d’autorisation)</w:t>
      </w:r>
    </w:p>
    <w:p w:rsidR="00EC34D3" w:rsidRDefault="00F35D2A">
      <w:pPr>
        <w:pStyle w:val="SDSTextNormal"/>
      </w:pPr>
      <w:r>
        <w:t>Ne contient pas de substance(s) listée(s) dans l’annexe XIV de REACH (Liste d’autorisation)</w:t>
      </w:r>
    </w:p>
    <w:p w:rsidR="00EC34D3" w:rsidRDefault="00F35D2A">
      <w:pPr>
        <w:pStyle w:val="SDSTextHeading4"/>
      </w:pPr>
      <w:r>
        <w:t xml:space="preserve">Liste candidate REACH </w:t>
      </w:r>
      <w:r>
        <w:t>(SVHC)</w:t>
      </w:r>
    </w:p>
    <w:p w:rsidR="00EC34D3" w:rsidRDefault="00F35D2A">
      <w:pPr>
        <w:pStyle w:val="SDSTextNormal"/>
        <w:rPr>
          <w:highlight w:val="yellow"/>
        </w:rPr>
      </w:pPr>
      <w:r>
        <w:t>Ne contient pas de substance(s) listée(s) dans la liste des substances candidates de REACH</w:t>
      </w:r>
    </w:p>
    <w:p w:rsidR="00EC34D3" w:rsidRDefault="00F35D2A">
      <w:pPr>
        <w:pStyle w:val="SDSTextHeading4"/>
      </w:pPr>
      <w:r>
        <w:t>Règlement PIC (UE 649/2012, consentement préalable en connaissance de cause)</w:t>
      </w:r>
    </w:p>
    <w:p w:rsidR="00EC34D3" w:rsidRDefault="00F35D2A">
      <w:pPr>
        <w:pStyle w:val="SDSTextNormal"/>
      </w:pPr>
      <w:r>
        <w:t>Ne contient pas de substance(s) listée(s) dans la liste PIC (Règlement UE 649/201</w:t>
      </w:r>
      <w:r>
        <w:t>2 concernant les exportations et importations de produits chimiques dangereux)</w:t>
      </w:r>
    </w:p>
    <w:p w:rsidR="00EC34D3" w:rsidRDefault="00F35D2A">
      <w:pPr>
        <w:pStyle w:val="SDSTextHeading4"/>
      </w:pPr>
      <w:r>
        <w:t>Règlement POP (UE 2019/1021, polluants organiques persistants)</w:t>
      </w:r>
    </w:p>
    <w:p w:rsidR="00EC34D3" w:rsidRDefault="00F35D2A">
      <w:pPr>
        <w:pStyle w:val="SDSTextNormal"/>
      </w:pPr>
      <w:r>
        <w:t>Ne contient pas de substance(s) listée(s) dans la liste des POP (règlement UE 2019/1021 sur les polluants organiqu</w:t>
      </w:r>
      <w:r>
        <w:t>es persistants)</w:t>
      </w:r>
    </w:p>
    <w:p w:rsidR="00EC34D3" w:rsidRDefault="00F35D2A">
      <w:pPr>
        <w:pStyle w:val="SDSTextHeading4"/>
      </w:pPr>
      <w:r>
        <w:t>Règlement sur l’appauvrissement de la couche d’ozone (UE 1005/2009)</w:t>
      </w:r>
    </w:p>
    <w:p w:rsidR="00EC34D3" w:rsidRDefault="00F35D2A">
      <w:pPr>
        <w:pStyle w:val="SDSTextNormal"/>
      </w:pPr>
      <w:r>
        <w:t>Ne contient aucune substance listée dans la liste des substances appauvrissant la couche d’ozone (Règlement (CE) n° 1005/2009 relatif à des substances appauvrissant la couc</w:t>
      </w:r>
      <w:r>
        <w:t>he d’ozone)</w:t>
      </w:r>
    </w:p>
    <w:p w:rsidR="00EC34D3" w:rsidRDefault="00F35D2A">
      <w:pPr>
        <w:pStyle w:val="SDSTextHeading4"/>
      </w:pPr>
      <w:r>
        <w:t>Règlement sur les précurseurs d’explosifs (UE 2019/1148)</w:t>
      </w:r>
    </w:p>
    <w:p w:rsidR="00EC34D3" w:rsidRDefault="00F35D2A">
      <w:pPr>
        <w:pStyle w:val="SDSTextNormal"/>
      </w:pPr>
      <w:r>
        <w:t>Ne contient pas de substance(s) listée(s) dans la liste des précurseurs d’explosifs (Règlement UE 2019/1148 relatif à la commercialisation et à l’utilisation des précurseurs d’explosifs)</w:t>
      </w:r>
    </w:p>
    <w:p w:rsidR="00EC34D3" w:rsidRDefault="00F35D2A">
      <w:pPr>
        <w:pStyle w:val="SDSTextHeading4"/>
      </w:pPr>
      <w:r>
        <w:t>Règlement sur les précurseurs de drogues (CE 273/2004)</w:t>
      </w:r>
    </w:p>
    <w:p w:rsidR="00EC34D3" w:rsidRDefault="00F35D2A">
      <w:pPr>
        <w:pStyle w:val="SDSTextNormal"/>
      </w:pPr>
      <w:r>
        <w:t>Ne contient pas de substance(s) listée(s) dans la liste des précurseurs de drogues (Règlement CE 273/2004 relatif à la fabrication et à la mise sur le marché de certaines substances utilisées pour la f</w:t>
      </w:r>
      <w:r>
        <w:t>abrication illicite de stupéfiants et de substances psychotropes)</w:t>
      </w:r>
    </w:p>
    <w:p w:rsidR="00EC34D3" w:rsidRDefault="00F35D2A">
      <w:pPr>
        <w:pStyle w:val="SDSTextHeading3"/>
      </w:pPr>
      <w:r>
        <w:lastRenderedPageBreak/>
        <w:t>15.1.2. Directives nationales</w:t>
      </w:r>
    </w:p>
    <w:p w:rsidR="00EC34D3" w:rsidRDefault="00F35D2A">
      <w:pPr>
        <w:pStyle w:val="SDSTextNormal"/>
      </w:pPr>
      <w:r>
        <w:t>Pas d’informations complémentaires disponibles</w:t>
      </w:r>
    </w:p>
    <w:p w:rsidR="00EC34D3" w:rsidRDefault="00F35D2A">
      <w:pPr>
        <w:pStyle w:val="SDSTextHeading2"/>
        <w:rPr>
          <w:lang w:val="en-GB"/>
        </w:rPr>
      </w:pPr>
      <w:r>
        <w:rPr>
          <w:lang w:val="en-GB"/>
        </w:rPr>
        <w:t xml:space="preserve">15.2. </w:t>
      </w:r>
      <w:r>
        <w:rPr>
          <w:lang w:val="en-GB"/>
        </w:rPr>
        <w:t>Évaluation de la sécurité chimique</w:t>
      </w:r>
    </w:p>
    <w:p w:rsidR="00EC34D3" w:rsidRDefault="00F35D2A">
      <w:pPr>
        <w:pStyle w:val="SDSTextNormal"/>
      </w:pPr>
      <w:r>
        <w:t>Aucune évaluation de la sécurité chimique n’a été effectuée</w:t>
      </w:r>
    </w:p>
    <w:p w:rsidR="00EC34D3" w:rsidRDefault="00F35D2A">
      <w:pPr>
        <w:pStyle w:val="SDSTextHeading1"/>
        <w:rPr>
          <w:lang w:val="fr-BE"/>
        </w:rPr>
      </w:pPr>
      <w:r>
        <w:rPr>
          <w:lang w:val="fr-BE"/>
        </w:rPr>
        <w:t>RUBRIQUE 16</w:t>
      </w:r>
      <w:r>
        <w:rPr>
          <w:lang w:val="fr-BE"/>
        </w:rPr>
        <w:t>:</w:t>
      </w:r>
      <w:r>
        <w:rPr>
          <w:lang w:val="fr-BE"/>
        </w:rPr>
        <w:t xml:space="preserve"> </w:t>
      </w:r>
      <w:r>
        <w:rPr>
          <w:lang w:val="fr-BE"/>
        </w:rPr>
        <w:t>Autres informations</w:t>
      </w: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6520"/>
      </w:tblGrid>
      <w:tr w:rsidR="00EC34D3">
        <w:trPr>
          <w:cantSplit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Sources des données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RÈGLEMENT (CE) No 1272/2008 DU PARLEMENT EUROPÉEN ET DU CONSEIL du 16 décembre 2008 relatif à la classification, à l’étiquetage et à l’emballage des substances et des mélanges, modifiant et abrogeant les directive</w:t>
            </w:r>
            <w:r>
              <w:rPr>
                <w:lang w:val="en-GB" w:eastAsia="fr-FR" w:bidi="ar-SA"/>
              </w:rPr>
              <w:t>s 67/548/CEE et 1999/45/CE et modifiant le règlement (CE) no 1907/2006.</w:t>
            </w:r>
          </w:p>
        </w:tc>
      </w:tr>
      <w:tr w:rsidR="00EC34D3">
        <w:trPr>
          <w:cantSplit/>
        </w:trPr>
        <w:tc>
          <w:tcPr>
            <w:tcW w:w="3685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Autres informations</w:t>
            </w:r>
          </w:p>
        </w:tc>
        <w:tc>
          <w:tcPr>
            <w:tcW w:w="284" w:type="dxa"/>
          </w:tcPr>
          <w:p w:rsidR="00EC34D3" w:rsidRDefault="00F35D2A">
            <w:pPr>
              <w:pStyle w:val="SDSTableTextColonColumn"/>
              <w:rPr>
                <w:lang w:val="en-GB" w:eastAsia="nl-NL" w:bidi="ar-SA"/>
              </w:rPr>
            </w:pPr>
            <w:r>
              <w:rPr>
                <w:lang w:val="en-GB" w:eastAsia="nl-NL" w:bidi="ar-SA"/>
              </w:rPr>
              <w:t>:</w:t>
            </w:r>
          </w:p>
        </w:tc>
        <w:tc>
          <w:tcPr>
            <w:tcW w:w="6520" w:type="dxa"/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Aucun(e).</w:t>
            </w:r>
          </w:p>
        </w:tc>
      </w:tr>
    </w:tbl>
    <w:p w:rsidR="00EC34D3" w:rsidRDefault="00EC34D3">
      <w:pPr>
        <w:pStyle w:val="SDSTextNormal"/>
      </w:pPr>
    </w:p>
    <w:tbl>
      <w:tblPr>
        <w:tblW w:w="10490" w:type="dxa"/>
        <w:tblInd w:w="-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4"/>
        <w:gridCol w:w="8506"/>
      </w:tblGrid>
      <w:tr w:rsidR="00EC34D3">
        <w:trPr>
          <w:cantSplit/>
          <w:tblHeader/>
        </w:trPr>
        <w:tc>
          <w:tcPr>
            <w:tcW w:w="104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:rsidR="00EC34D3" w:rsidRDefault="00F35D2A">
            <w:pPr>
              <w:pStyle w:val="SDSTableTextHeading1"/>
              <w:rPr>
                <w:highlight w:val="yellow"/>
                <w:lang w:val="en-GB" w:eastAsia="nl-NL" w:bidi="ar-SA"/>
              </w:rPr>
            </w:pPr>
            <w:r>
              <w:rPr>
                <w:lang w:val="en-GB" w:eastAsia="fr-FR" w:bidi="ar-SA"/>
              </w:rPr>
              <w:t>Texte intégral des phrases H et EUH</w:t>
            </w:r>
            <w:r>
              <w:rPr>
                <w:lang w:val="en-GB" w:eastAsia="nl-NL" w:bidi="ar-SA"/>
              </w:rPr>
              <w:t>: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Acute Tox. 4 (par voie orale)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Toxicité aiguë (par voie orale), catégorie 4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Aquatic Acute 1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 xml:space="preserve">Dangereux pour le </w:t>
            </w:r>
            <w:r>
              <w:rPr>
                <w:lang w:val="en-GB" w:eastAsia="fr-FR" w:bidi="ar-SA"/>
              </w:rPr>
              <w:t>milieu aquatique – Danger aigu, catégorie 1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Aquatic Chronic 1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Dangereux pour le milieu aquatique – Danger chronique, catégorie 1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H302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Nocif en cas d’ingestion.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H400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Très toxique pour les organismes aquatiques.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H410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Très toxique pour les organismes aqua</w:t>
            </w:r>
            <w:r>
              <w:rPr>
                <w:lang w:val="en-GB" w:eastAsia="fr-FR" w:bidi="ar-SA"/>
              </w:rPr>
              <w:t>tiques, entraîne des effets néfastes à long terme.</w:t>
            </w:r>
          </w:p>
        </w:tc>
      </w:tr>
      <w:tr w:rsidR="00EC34D3">
        <w:trPr>
          <w:cantSplit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H412</w:t>
            </w:r>
          </w:p>
        </w:tc>
        <w:tc>
          <w:tcPr>
            <w:tcW w:w="85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C34D3" w:rsidRDefault="00F35D2A">
            <w:pPr>
              <w:pStyle w:val="SDSTableTextNormal"/>
              <w:rPr>
                <w:lang w:val="en-GB" w:eastAsia="nl-NL" w:bidi="ar-SA"/>
              </w:rPr>
            </w:pPr>
            <w:r>
              <w:rPr>
                <w:lang w:val="en-GB" w:eastAsia="fr-FR" w:bidi="ar-SA"/>
              </w:rPr>
              <w:t>Nocif pour les organismes aquatiques, entraîne des effets néfastes à long terme.</w:t>
            </w:r>
          </w:p>
        </w:tc>
      </w:tr>
    </w:tbl>
    <w:p w:rsidR="00EC34D3" w:rsidRDefault="00F35D2A">
      <w:pPr>
        <w:pStyle w:val="SDSTextGray"/>
      </w:pPr>
      <w:r>
        <w:t>Fiche de données de sécurité (FDS), UE</w:t>
      </w:r>
    </w:p>
    <w:p w:rsidR="00EC34D3" w:rsidRDefault="00F35D2A">
      <w:pPr>
        <w:pStyle w:val="SDSTextGray"/>
      </w:pPr>
      <w:r>
        <w:t>Ces informations sont basées sur nos connaissances actuelles et décrivent le p</w:t>
      </w:r>
      <w:r>
        <w:t>roduit pour les seuls besoins de la santé, de la sécurité et de l’environnement. Elles ne devraient donc pas être interprétées comme garantissant une quelconque propriété spécifique du produit.</w:t>
      </w:r>
    </w:p>
    <w:sectPr w:rsidR="00EC34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720" w:bottom="765" w:left="72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D2A" w:rsidRDefault="00F35D2A">
      <w:pPr>
        <w:spacing w:line="240" w:lineRule="auto"/>
      </w:pPr>
      <w:r>
        <w:separator/>
      </w:r>
    </w:p>
  </w:endnote>
  <w:endnote w:type="continuationSeparator" w:id="0">
    <w:p w:rsidR="00F35D2A" w:rsidRDefault="00F35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Layout w:type="fixed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5"/>
      <w:gridCol w:w="3458"/>
      <w:gridCol w:w="3515"/>
    </w:tblGrid>
    <w:tr w:rsidR="00EC34D3">
      <w:trPr>
        <w:trHeight w:val="57"/>
      </w:trPr>
      <w:tc>
        <w:tcPr>
          <w:tcW w:w="3515" w:type="dxa"/>
          <w:tcBorders>
            <w:bottom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  <w:tc>
        <w:tcPr>
          <w:tcW w:w="3458" w:type="dxa"/>
          <w:tcBorders>
            <w:bottom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  <w:tc>
        <w:tcPr>
          <w:tcW w:w="3515" w:type="dxa"/>
          <w:tcBorders>
            <w:bottom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</w:tr>
    <w:tr w:rsidR="00EC34D3">
      <w:trPr>
        <w:trHeight w:val="23"/>
      </w:trPr>
      <w:tc>
        <w:tcPr>
          <w:tcW w:w="3515" w:type="dxa"/>
          <w:tcBorders>
            <w:top w:val="single" w:sz="4" w:space="0" w:color="000000"/>
          </w:tcBorders>
        </w:tcPr>
        <w:p w:rsidR="00EC34D3" w:rsidRDefault="00F35D2A">
          <w:pPr>
            <w:pStyle w:val="SDSTableTextFooter"/>
            <w:rPr>
              <w:lang w:val="en-GB" w:eastAsia="fr-FR" w:bidi="ar-SA"/>
            </w:rPr>
          </w:pPr>
          <w:r>
            <w:rPr>
              <w:lang w:val="en-GB" w:eastAsia="fr-FR" w:bidi="ar-SA"/>
            </w:rPr>
            <w:t>20/09/2023 (Date d’émission)</w:t>
          </w:r>
        </w:p>
      </w:tc>
      <w:tc>
        <w:tcPr>
          <w:tcW w:w="3458" w:type="dxa"/>
          <w:tcBorders>
            <w:top w:val="single" w:sz="4" w:space="0" w:color="000000"/>
          </w:tcBorders>
        </w:tcPr>
        <w:p w:rsidR="00EC34D3" w:rsidRDefault="00F35D2A">
          <w:pPr>
            <w:pStyle w:val="SDSTableTextFooter"/>
            <w:jc w:val="center"/>
            <w:rPr>
              <w:lang w:val="en-GB" w:eastAsia="fr-FR" w:bidi="ar-SA"/>
            </w:rPr>
          </w:pPr>
          <w:r>
            <w:rPr>
              <w:lang w:val="en-GB" w:eastAsia="fr-FR" w:bidi="ar-SA"/>
            </w:rPr>
            <w:t>FR (français)</w:t>
          </w:r>
        </w:p>
      </w:tc>
      <w:tc>
        <w:tcPr>
          <w:tcW w:w="3515" w:type="dxa"/>
          <w:tcBorders>
            <w:top w:val="single" w:sz="4" w:space="0" w:color="000000"/>
          </w:tcBorders>
        </w:tcPr>
        <w:p w:rsidR="00EC34D3" w:rsidRDefault="00F35D2A">
          <w:pPr>
            <w:pStyle w:val="SDSTableTextFooter"/>
            <w:jc w:val="right"/>
            <w:rPr>
              <w:lang w:val="en-GB" w:eastAsia="fr-FR" w:bidi="ar-SA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C464C">
            <w:rPr>
              <w:noProof/>
            </w:rPr>
            <w:t>2</w:t>
          </w:r>
          <w:r>
            <w:fldChar w:fldCharType="end"/>
          </w:r>
          <w:r>
            <w:rPr>
              <w:lang w:val="en-GB" w:eastAsia="fr-FR" w:bidi="ar-SA"/>
            </w:rPr>
            <w:t>/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0C464C">
            <w:rPr>
              <w:noProof/>
            </w:rPr>
            <w:t>9</w:t>
          </w:r>
          <w:r>
            <w:fldChar w:fldCharType="end"/>
          </w:r>
        </w:p>
      </w:tc>
    </w:tr>
  </w:tbl>
  <w:p w:rsidR="00EC34D3" w:rsidRDefault="00EC34D3">
    <w:pPr>
      <w:pStyle w:val="SDSTextBlank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Layout w:type="fixed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5"/>
      <w:gridCol w:w="3458"/>
      <w:gridCol w:w="3515"/>
    </w:tblGrid>
    <w:tr w:rsidR="00EC34D3">
      <w:trPr>
        <w:trHeight w:val="57"/>
      </w:trPr>
      <w:tc>
        <w:tcPr>
          <w:tcW w:w="3515" w:type="dxa"/>
          <w:tcBorders>
            <w:bottom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  <w:tc>
        <w:tcPr>
          <w:tcW w:w="3458" w:type="dxa"/>
          <w:tcBorders>
            <w:bottom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  <w:tc>
        <w:tcPr>
          <w:tcW w:w="3515" w:type="dxa"/>
          <w:tcBorders>
            <w:bottom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</w:tr>
    <w:tr w:rsidR="00EC34D3">
      <w:trPr>
        <w:trHeight w:val="23"/>
      </w:trPr>
      <w:tc>
        <w:tcPr>
          <w:tcW w:w="3515" w:type="dxa"/>
          <w:tcBorders>
            <w:top w:val="single" w:sz="4" w:space="0" w:color="000000"/>
          </w:tcBorders>
        </w:tcPr>
        <w:p w:rsidR="00EC34D3" w:rsidRDefault="00F35D2A">
          <w:pPr>
            <w:pStyle w:val="SDSTableTextFooter"/>
            <w:rPr>
              <w:lang w:val="en-GB" w:eastAsia="fr-FR" w:bidi="ar-SA"/>
            </w:rPr>
          </w:pPr>
          <w:r>
            <w:rPr>
              <w:lang w:val="en-GB" w:eastAsia="fr-FR" w:bidi="ar-SA"/>
            </w:rPr>
            <w:t>20/09/2023 (Date d’émission)</w:t>
          </w:r>
        </w:p>
      </w:tc>
      <w:tc>
        <w:tcPr>
          <w:tcW w:w="3458" w:type="dxa"/>
          <w:tcBorders>
            <w:top w:val="single" w:sz="4" w:space="0" w:color="000000"/>
          </w:tcBorders>
        </w:tcPr>
        <w:p w:rsidR="00EC34D3" w:rsidRDefault="00F35D2A">
          <w:pPr>
            <w:pStyle w:val="SDSTableTextFooter"/>
            <w:jc w:val="center"/>
            <w:rPr>
              <w:lang w:val="en-GB" w:eastAsia="fr-FR" w:bidi="ar-SA"/>
            </w:rPr>
          </w:pPr>
          <w:r>
            <w:rPr>
              <w:lang w:val="en-GB" w:eastAsia="fr-FR" w:bidi="ar-SA"/>
            </w:rPr>
            <w:t>FR (français)</w:t>
          </w:r>
        </w:p>
      </w:tc>
      <w:tc>
        <w:tcPr>
          <w:tcW w:w="3515" w:type="dxa"/>
          <w:tcBorders>
            <w:top w:val="single" w:sz="4" w:space="0" w:color="000000"/>
          </w:tcBorders>
        </w:tcPr>
        <w:p w:rsidR="00EC34D3" w:rsidRDefault="00F35D2A">
          <w:pPr>
            <w:pStyle w:val="SDSTableTextFooter"/>
            <w:jc w:val="right"/>
            <w:rPr>
              <w:lang w:val="en-GB" w:eastAsia="fr-FR" w:bidi="ar-SA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C464C">
            <w:rPr>
              <w:noProof/>
            </w:rPr>
            <w:t>1</w:t>
          </w:r>
          <w:r>
            <w:fldChar w:fldCharType="end"/>
          </w:r>
          <w:r>
            <w:rPr>
              <w:lang w:val="en-GB" w:eastAsia="fr-FR" w:bidi="ar-SA"/>
            </w:rPr>
            <w:t>/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0C464C">
            <w:rPr>
              <w:noProof/>
            </w:rPr>
            <w:t>9</w:t>
          </w:r>
          <w:r>
            <w:fldChar w:fldCharType="end"/>
          </w:r>
        </w:p>
      </w:tc>
    </w:tr>
  </w:tbl>
  <w:p w:rsidR="00EC34D3" w:rsidRDefault="00EC34D3">
    <w:pPr>
      <w:pStyle w:val="SDSTextBlankLin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D2A" w:rsidRDefault="00F35D2A">
      <w:pPr>
        <w:spacing w:line="240" w:lineRule="auto"/>
      </w:pPr>
      <w:r>
        <w:separator/>
      </w:r>
    </w:p>
  </w:footnote>
  <w:footnote w:type="continuationSeparator" w:id="0">
    <w:p w:rsidR="00F35D2A" w:rsidRDefault="00F35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7483"/>
      <w:gridCol w:w="3005"/>
    </w:tblGrid>
    <w:tr w:rsidR="00EC34D3">
      <w:trPr>
        <w:trHeight w:val="23"/>
      </w:trPr>
      <w:tc>
        <w:tcPr>
          <w:tcW w:w="10488" w:type="dxa"/>
          <w:gridSpan w:val="2"/>
        </w:tcPr>
        <w:p w:rsidR="00EC34D3" w:rsidRDefault="00F35D2A">
          <w:pPr>
            <w:pStyle w:val="SDSTableTextHeader"/>
            <w:rPr>
              <w:b/>
              <w:sz w:val="32"/>
              <w:szCs w:val="32"/>
              <w:lang w:val="en-GB" w:eastAsia="fr-FR" w:bidi="ar-SA"/>
            </w:rPr>
          </w:pPr>
          <w:r>
            <w:rPr>
              <w:b/>
              <w:sz w:val="32"/>
              <w:szCs w:val="32"/>
              <w:lang w:val="en-GB" w:eastAsia="fr-FR" w:bidi="ar-SA"/>
            </w:rPr>
            <w:t>FDS 10% - Ambre</w:t>
          </w:r>
        </w:p>
      </w:tc>
    </w:tr>
    <w:tr w:rsidR="00EC34D3">
      <w:trPr>
        <w:trHeight w:val="23"/>
      </w:trPr>
      <w:tc>
        <w:tcPr>
          <w:tcW w:w="7483" w:type="dxa"/>
        </w:tcPr>
        <w:p w:rsidR="00EC34D3" w:rsidRDefault="00F35D2A">
          <w:pPr>
            <w:pStyle w:val="SDSTableTextHeader"/>
            <w:rPr>
              <w:sz w:val="24"/>
              <w:szCs w:val="24"/>
              <w:lang w:val="en-GB" w:eastAsia="fr-FR" w:bidi="ar-SA"/>
            </w:rPr>
          </w:pPr>
          <w:r>
            <w:rPr>
              <w:sz w:val="24"/>
              <w:szCs w:val="24"/>
              <w:lang w:val="en-GB" w:eastAsia="fr-FR" w:bidi="ar-SA"/>
            </w:rPr>
            <w:t>Fiche de Données de Sécurité</w:t>
          </w:r>
        </w:p>
      </w:tc>
      <w:tc>
        <w:tcPr>
          <w:tcW w:w="3005" w:type="dxa"/>
        </w:tcPr>
        <w:p w:rsidR="00EC34D3" w:rsidRDefault="00EC34D3">
          <w:pPr>
            <w:pStyle w:val="SDSTableTextHeader"/>
            <w:snapToGrid w:val="0"/>
            <w:jc w:val="right"/>
            <w:rPr>
              <w:b/>
              <w:color w:val="FF0000"/>
              <w:sz w:val="24"/>
              <w:szCs w:val="24"/>
              <w:lang w:val="en-GB" w:eastAsia="fr-FR" w:bidi="ar-SA"/>
            </w:rPr>
          </w:pPr>
        </w:p>
      </w:tc>
    </w:tr>
    <w:tr w:rsidR="00EC34D3">
      <w:trPr>
        <w:trHeight w:val="23"/>
      </w:trPr>
      <w:tc>
        <w:tcPr>
          <w:tcW w:w="10488" w:type="dxa"/>
          <w:gridSpan w:val="2"/>
          <w:tcBorders>
            <w:bottom w:val="single" w:sz="4" w:space="0" w:color="000000"/>
          </w:tcBorders>
        </w:tcPr>
        <w:p w:rsidR="00EC34D3" w:rsidRDefault="00F35D2A">
          <w:pPr>
            <w:pStyle w:val="SDSTableTextHeader"/>
            <w:rPr>
              <w:lang w:val="fr-BE" w:eastAsia="fr-FR" w:bidi="ar-SA"/>
            </w:rPr>
          </w:pPr>
          <w:r>
            <w:rPr>
              <w:lang w:val="fr-BE" w:eastAsia="fr-FR" w:bidi="ar-SA"/>
            </w:rPr>
            <w:t>conformément au règlement (CE) n° 1907/2006 (REACH) modifié par le règlement (UE) 2020/878</w:t>
          </w:r>
        </w:p>
      </w:tc>
    </w:tr>
    <w:tr w:rsidR="00EC34D3"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fr-BE" w:eastAsia="nl-NL" w:bidi="ar-SA"/>
            </w:rPr>
          </w:pPr>
        </w:p>
      </w:tc>
    </w:tr>
  </w:tbl>
  <w:p w:rsidR="00EC34D3" w:rsidRDefault="00EC34D3">
    <w:pPr>
      <w:pStyle w:val="SDSTextBlankLine"/>
      <w:rPr>
        <w:lang w:val="fr-B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ayout w:type="fixed"/>
      <w:tblCellMar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7483"/>
      <w:gridCol w:w="3007"/>
    </w:tblGrid>
    <w:tr w:rsidR="00EC34D3">
      <w:trPr>
        <w:trHeight w:val="23"/>
      </w:trPr>
      <w:tc>
        <w:tcPr>
          <w:tcW w:w="10490" w:type="dxa"/>
          <w:gridSpan w:val="2"/>
        </w:tcPr>
        <w:p w:rsidR="00EC34D3" w:rsidRDefault="00F35D2A">
          <w:pPr>
            <w:pStyle w:val="SDSTableTextHeader"/>
            <w:rPr>
              <w:b/>
              <w:sz w:val="32"/>
              <w:szCs w:val="32"/>
              <w:lang w:val="en-GB" w:eastAsia="fr-FR" w:bidi="ar-SA"/>
            </w:rPr>
          </w:pPr>
          <w:r>
            <w:rPr>
              <w:b/>
              <w:sz w:val="32"/>
              <w:szCs w:val="32"/>
              <w:lang w:val="en-GB" w:eastAsia="fr-FR" w:bidi="ar-SA"/>
            </w:rPr>
            <w:t>FDS 10% - Ambre</w:t>
          </w:r>
        </w:p>
      </w:tc>
    </w:tr>
    <w:tr w:rsidR="00EC34D3">
      <w:trPr>
        <w:trHeight w:val="23"/>
      </w:trPr>
      <w:tc>
        <w:tcPr>
          <w:tcW w:w="7483" w:type="dxa"/>
        </w:tcPr>
        <w:p w:rsidR="00EC34D3" w:rsidRDefault="00F35D2A">
          <w:pPr>
            <w:pStyle w:val="SDSTableTextHeader"/>
            <w:rPr>
              <w:sz w:val="24"/>
              <w:szCs w:val="24"/>
              <w:lang w:val="en-GB" w:eastAsia="fr-FR" w:bidi="ar-SA"/>
            </w:rPr>
          </w:pPr>
          <w:r>
            <w:rPr>
              <w:sz w:val="24"/>
              <w:szCs w:val="24"/>
              <w:lang w:val="en-GB" w:eastAsia="fr-FR" w:bidi="ar-SA"/>
            </w:rPr>
            <w:t>Fiche de Données de Sécurité</w:t>
          </w:r>
        </w:p>
      </w:tc>
      <w:tc>
        <w:tcPr>
          <w:tcW w:w="3007" w:type="dxa"/>
        </w:tcPr>
        <w:p w:rsidR="00EC34D3" w:rsidRDefault="00EC34D3">
          <w:pPr>
            <w:pStyle w:val="SDSTableTextHeader"/>
            <w:snapToGrid w:val="0"/>
            <w:jc w:val="right"/>
            <w:rPr>
              <w:b/>
              <w:color w:val="FF0000"/>
              <w:sz w:val="24"/>
              <w:szCs w:val="24"/>
              <w:lang w:val="en-GB" w:eastAsia="fr-FR" w:bidi="ar-SA"/>
            </w:rPr>
          </w:pPr>
        </w:p>
      </w:tc>
    </w:tr>
    <w:tr w:rsidR="00EC34D3">
      <w:trPr>
        <w:trHeight w:val="23"/>
      </w:trPr>
      <w:tc>
        <w:tcPr>
          <w:tcW w:w="10490" w:type="dxa"/>
          <w:gridSpan w:val="2"/>
          <w:tcBorders>
            <w:bottom w:val="single" w:sz="4" w:space="0" w:color="000000"/>
          </w:tcBorders>
        </w:tcPr>
        <w:p w:rsidR="00EC34D3" w:rsidRDefault="00F35D2A">
          <w:pPr>
            <w:pStyle w:val="SDSTableTextHeader"/>
            <w:rPr>
              <w:lang w:val="fr-BE" w:eastAsia="fr-FR" w:bidi="ar-SA"/>
            </w:rPr>
          </w:pPr>
          <w:r>
            <w:rPr>
              <w:lang w:val="fr-BE" w:eastAsia="fr-FR" w:bidi="ar-SA"/>
            </w:rPr>
            <w:t xml:space="preserve">conformément au règlement (CE) n° 1907/2006 (REACH) </w:t>
          </w:r>
          <w:r>
            <w:rPr>
              <w:lang w:val="fr-BE" w:eastAsia="fr-FR" w:bidi="ar-SA"/>
            </w:rPr>
            <w:t>modifié par le règlement (UE) 2020/878</w:t>
          </w:r>
        </w:p>
        <w:p w:rsidR="00EC34D3" w:rsidRDefault="00F35D2A">
          <w:pPr>
            <w:pStyle w:val="SDSTableTextHeader"/>
            <w:rPr>
              <w:lang w:val="en-GB" w:eastAsia="fr-FR" w:bidi="ar-SA"/>
            </w:rPr>
          </w:pPr>
          <w:r>
            <w:rPr>
              <w:lang w:val="en-GB" w:eastAsia="fr-FR" w:bidi="ar-SA"/>
            </w:rPr>
            <w:t>Date d’émission: 20/09/2023   Version: 1.1</w:t>
          </w:r>
        </w:p>
      </w:tc>
    </w:tr>
    <w:tr w:rsidR="00EC34D3"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</w:tcBorders>
        </w:tcPr>
        <w:p w:rsidR="00EC34D3" w:rsidRDefault="00EC34D3">
          <w:pPr>
            <w:pStyle w:val="SDSTextBlankLine"/>
            <w:snapToGrid w:val="0"/>
            <w:rPr>
              <w:lang w:val="en-GB" w:eastAsia="nl-NL" w:bidi="ar-SA"/>
            </w:rPr>
          </w:pPr>
        </w:p>
      </w:tc>
    </w:tr>
  </w:tbl>
  <w:p w:rsidR="00EC34D3" w:rsidRDefault="00EC34D3">
    <w:pPr>
      <w:pStyle w:val="SDSTableTextHeader"/>
      <w:rPr>
        <w:sz w:val="2"/>
        <w:szCs w:val="16"/>
        <w:lang w:val="en-GB" w:eastAsia="nl-N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7229A"/>
    <w:multiLevelType w:val="multilevel"/>
    <w:tmpl w:val="622C8A3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D3"/>
    <w:rsid w:val="000C464C"/>
    <w:rsid w:val="00EC34D3"/>
    <w:rsid w:val="00F3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B78D9-1102-4B9B-8E3D-D3A79BC7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Lines/>
      <w:spacing w:line="288" w:lineRule="auto"/>
    </w:pPr>
    <w:rPr>
      <w:rFonts w:ascii="Arial" w:eastAsia="Times New Roman" w:hAnsi="Arial"/>
      <w:sz w:val="16"/>
      <w:szCs w:val="1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hAnsi="Cambria" w:cs="Times New Roman"/>
      <w:b/>
      <w:bCs/>
      <w:kern w:val="2"/>
      <w:sz w:val="32"/>
      <w:szCs w:val="32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nl-NL"/>
    </w:rPr>
  </w:style>
  <w:style w:type="character" w:customStyle="1" w:styleId="SDSTableTextNormalChar">
    <w:name w:val="SDS_TableText_Normal Char"/>
    <w:qFormat/>
    <w:rPr>
      <w:rFonts w:ascii="Arial" w:hAnsi="Arial" w:cs="Arial"/>
      <w:sz w:val="16"/>
      <w:szCs w:val="12"/>
    </w:rPr>
  </w:style>
  <w:style w:type="character" w:customStyle="1" w:styleId="SDSTableTextBoldChar">
    <w:name w:val="SDS_TableText_Bold Char"/>
    <w:qFormat/>
    <w:rPr>
      <w:rFonts w:ascii="Arial" w:hAnsi="Arial" w:cs="Arial"/>
      <w:b/>
      <w:sz w:val="16"/>
      <w:szCs w:val="12"/>
    </w:rPr>
  </w:style>
  <w:style w:type="character" w:customStyle="1" w:styleId="SDSTableTextHeading1Char">
    <w:name w:val="SDS_TableText_Heading1 Char"/>
    <w:qFormat/>
    <w:rPr>
      <w:rFonts w:ascii="Arial" w:hAnsi="Arial" w:cs="Arial"/>
      <w:b/>
      <w:color w:val="0070C0"/>
      <w:sz w:val="18"/>
      <w:szCs w:val="16"/>
    </w:rPr>
  </w:style>
  <w:style w:type="character" w:customStyle="1" w:styleId="SDSTableTextHeading2Char">
    <w:name w:val="SDS_TableText_Heading2 Char"/>
    <w:qFormat/>
    <w:rPr>
      <w:rFonts w:ascii="Arial" w:hAnsi="Arial" w:cs="Arial"/>
      <w:b/>
      <w:color w:val="0070C0"/>
      <w:sz w:val="16"/>
      <w:szCs w:val="16"/>
    </w:rPr>
  </w:style>
  <w:style w:type="character" w:customStyle="1" w:styleId="SDSTextBlankLineChar">
    <w:name w:val="SDS_Text_BlankLine Char"/>
    <w:qFormat/>
    <w:rPr>
      <w:rFonts w:ascii="Arial" w:hAnsi="Arial" w:cs="Arial"/>
      <w:sz w:val="2"/>
      <w:szCs w:val="16"/>
    </w:rPr>
  </w:style>
  <w:style w:type="character" w:customStyle="1" w:styleId="SDSTextNormalChar">
    <w:name w:val="SDS_Text_Normal Char"/>
    <w:qFormat/>
  </w:style>
  <w:style w:type="character" w:customStyle="1" w:styleId="SDSTextGrayChar">
    <w:name w:val="SDS_Text_Gray Char"/>
    <w:qFormat/>
    <w:rPr>
      <w:rFonts w:ascii="Arial" w:hAnsi="Arial" w:cs="Arial"/>
      <w:color w:val="808080"/>
      <w:sz w:val="16"/>
      <w:szCs w:val="16"/>
    </w:rPr>
  </w:style>
  <w:style w:type="character" w:customStyle="1" w:styleId="SDSTextHeading1Char">
    <w:name w:val="SDS_Text_Heading1 Char"/>
    <w:qFormat/>
    <w:rPr>
      <w:b/>
      <w:bCs/>
      <w:color w:val="FFFFFF"/>
      <w:sz w:val="20"/>
      <w:shd w:val="clear" w:color="auto" w:fill="2E74B5"/>
      <w:lang w:val="de-DE" w:eastAsia="fr-FR"/>
    </w:rPr>
  </w:style>
  <w:style w:type="character" w:customStyle="1" w:styleId="SDSTextHeading2Char">
    <w:name w:val="SDS_Text_Heading2 Char"/>
    <w:qFormat/>
    <w:rPr>
      <w:rFonts w:ascii="Arial" w:hAnsi="Arial" w:cs="Arial"/>
      <w:b/>
      <w:bCs/>
      <w:color w:val="0070C0"/>
      <w:sz w:val="18"/>
      <w:szCs w:val="16"/>
      <w:shd w:val="clear" w:color="auto" w:fill="9CC2E5"/>
      <w:lang w:val="de-DE" w:eastAsia="fr-FR"/>
    </w:rPr>
  </w:style>
  <w:style w:type="character" w:customStyle="1" w:styleId="SDSTextHeading3Char">
    <w:name w:val="SDS_Text_Heading3 Char"/>
    <w:qFormat/>
    <w:rPr>
      <w:rFonts w:ascii="Arial" w:hAnsi="Arial" w:cs="Arial"/>
      <w:b/>
      <w:bCs/>
      <w:color w:val="0070C0"/>
      <w:sz w:val="16"/>
      <w:szCs w:val="16"/>
    </w:rPr>
  </w:style>
  <w:style w:type="character" w:customStyle="1" w:styleId="SDSTextHeading4Char">
    <w:name w:val="SDS_Text_Heading4 Char"/>
    <w:qFormat/>
    <w:rPr>
      <w:rFonts w:ascii="Arial" w:hAnsi="Arial" w:cs="Arial"/>
      <w:b/>
      <w:color w:val="0070C0"/>
      <w:sz w:val="16"/>
      <w:szCs w:val="16"/>
    </w:rPr>
  </w:style>
  <w:style w:type="character" w:customStyle="1" w:styleId="SDSTableTextColonColumnChar">
    <w:name w:val="SDS_TableText_ColonColumn Char"/>
    <w:qFormat/>
    <w:rPr>
      <w:rFonts w:ascii="Arial" w:hAnsi="Arial" w:cs="Arial"/>
      <w:sz w:val="16"/>
      <w:szCs w:val="12"/>
    </w:rPr>
  </w:style>
  <w:style w:type="character" w:customStyle="1" w:styleId="SDSTableTextHeaderChar">
    <w:name w:val="SDS_TableText_Header Char"/>
    <w:basedOn w:val="SDSTableTextNormalChar"/>
    <w:qFormat/>
    <w:rPr>
      <w:rFonts w:ascii="Arial" w:hAnsi="Arial" w:cs="Arial"/>
      <w:sz w:val="14"/>
      <w:szCs w:val="14"/>
    </w:rPr>
  </w:style>
  <w:style w:type="character" w:customStyle="1" w:styleId="HeaderChar">
    <w:name w:val="Header Char"/>
    <w:basedOn w:val="Policepardfaut"/>
    <w:qFormat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Policepardfaut"/>
    <w:qFormat/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Policepardfaut"/>
    <w:qFormat/>
    <w:rPr>
      <w:rFonts w:ascii="Arial" w:eastAsia="MS Mincho;ＭＳ 明朝" w:hAnsi="Arial" w:cs="Arial"/>
      <w:szCs w:val="24"/>
      <w:lang w:val="en-US" w:eastAsia="fr-FR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;ＭＳ 明朝" w:cs="Times New Roman"/>
      <w:sz w:val="20"/>
      <w:szCs w:val="24"/>
      <w:lang w:val="en-US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Rvision">
    <w:name w:val="Revision"/>
    <w:qFormat/>
    <w:rPr>
      <w:rFonts w:ascii="Arial" w:eastAsia="Times New Roman" w:hAnsi="Arial"/>
      <w:sz w:val="16"/>
      <w:szCs w:val="16"/>
    </w:rPr>
  </w:style>
  <w:style w:type="paragraph" w:customStyle="1" w:styleId="SDSTableTextNormal">
    <w:name w:val="SDS_TableText_Normal"/>
    <w:qFormat/>
    <w:pPr>
      <w:keepLines/>
      <w:spacing w:line="288" w:lineRule="auto"/>
    </w:pPr>
    <w:rPr>
      <w:rFonts w:ascii="Arial" w:eastAsia="Times New Roman" w:hAnsi="Arial"/>
      <w:sz w:val="16"/>
      <w:szCs w:val="12"/>
    </w:rPr>
  </w:style>
  <w:style w:type="paragraph" w:customStyle="1" w:styleId="SDSTableTextBold">
    <w:name w:val="SDS_TableText_Bold"/>
    <w:basedOn w:val="SDSTableTextNormal"/>
    <w:qFormat/>
    <w:pPr>
      <w:keepNext/>
      <w:spacing w:before="40"/>
    </w:pPr>
    <w:rPr>
      <w:b/>
    </w:rPr>
  </w:style>
  <w:style w:type="paragraph" w:customStyle="1" w:styleId="SDSTableTextHeading1">
    <w:name w:val="SDS_TableText_Heading1"/>
    <w:qFormat/>
    <w:pPr>
      <w:keepNext/>
      <w:keepLines/>
      <w:spacing w:line="288" w:lineRule="auto"/>
    </w:pPr>
    <w:rPr>
      <w:rFonts w:ascii="Arial" w:eastAsia="Times New Roman" w:hAnsi="Arial"/>
      <w:b/>
      <w:color w:val="0070C0"/>
      <w:sz w:val="18"/>
      <w:szCs w:val="16"/>
    </w:rPr>
  </w:style>
  <w:style w:type="paragraph" w:customStyle="1" w:styleId="SDSTableTextHeading2">
    <w:name w:val="SDS_TableText_Heading2"/>
    <w:qFormat/>
    <w:pPr>
      <w:keepNext/>
      <w:keepLines/>
      <w:spacing w:line="288" w:lineRule="auto"/>
    </w:pPr>
    <w:rPr>
      <w:rFonts w:ascii="Arial" w:eastAsia="Times New Roman" w:hAnsi="Arial"/>
      <w:b/>
      <w:color w:val="0070C0"/>
      <w:sz w:val="16"/>
      <w:szCs w:val="16"/>
    </w:rPr>
  </w:style>
  <w:style w:type="paragraph" w:customStyle="1" w:styleId="SDSTextBlankLine">
    <w:name w:val="SDS_Text_BlankLine"/>
    <w:qFormat/>
    <w:rPr>
      <w:rFonts w:ascii="Arial" w:eastAsia="Times New Roman" w:hAnsi="Arial"/>
      <w:sz w:val="2"/>
      <w:szCs w:val="16"/>
    </w:rPr>
  </w:style>
  <w:style w:type="paragraph" w:customStyle="1" w:styleId="SDSTextNormal">
    <w:name w:val="SDS_Text_Normal"/>
    <w:qFormat/>
    <w:pPr>
      <w:keepLines/>
      <w:spacing w:line="288" w:lineRule="auto"/>
    </w:pPr>
    <w:rPr>
      <w:rFonts w:ascii="Arial" w:eastAsia="Times New Roman" w:hAnsi="Arial"/>
      <w:sz w:val="16"/>
      <w:szCs w:val="16"/>
    </w:rPr>
  </w:style>
  <w:style w:type="paragraph" w:customStyle="1" w:styleId="SDSTextGray">
    <w:name w:val="SDS_Text_Gray"/>
    <w:basedOn w:val="SDSTextNormal"/>
    <w:qFormat/>
    <w:pPr>
      <w:spacing w:before="120"/>
    </w:pPr>
    <w:rPr>
      <w:color w:val="808080"/>
    </w:rPr>
  </w:style>
  <w:style w:type="paragraph" w:customStyle="1" w:styleId="SDSTextHeading1">
    <w:name w:val="SDS_Text_Heading1"/>
    <w:qFormat/>
    <w:pPr>
      <w:keepNext/>
      <w:keepLines/>
      <w:pBdr>
        <w:top w:val="single" w:sz="2" w:space="3" w:color="2E74B5"/>
        <w:left w:val="single" w:sz="2" w:space="0" w:color="2E74B5"/>
        <w:bottom w:val="single" w:sz="2" w:space="3" w:color="2E74B5"/>
        <w:right w:val="single" w:sz="2" w:space="0" w:color="2E74B5"/>
      </w:pBdr>
      <w:shd w:val="clear" w:color="auto" w:fill="2E74B5"/>
      <w:spacing w:before="360" w:after="120"/>
      <w:ind w:left="312" w:hanging="284"/>
      <w:outlineLvl w:val="0"/>
    </w:pPr>
    <w:rPr>
      <w:rFonts w:ascii="Arial" w:eastAsia="Times New Roman" w:hAnsi="Arial"/>
      <w:b/>
      <w:bCs/>
      <w:color w:val="FFFFFF"/>
      <w:sz w:val="20"/>
      <w:szCs w:val="16"/>
      <w:lang w:val="de-DE" w:eastAsia="fr-FR"/>
    </w:rPr>
  </w:style>
  <w:style w:type="paragraph" w:customStyle="1" w:styleId="SDSTextHeading2">
    <w:name w:val="SDS_Text_Heading2"/>
    <w:qFormat/>
    <w:pPr>
      <w:keepNext/>
      <w:keepLines/>
      <w:pBdr>
        <w:top w:val="single" w:sz="2" w:space="2" w:color="9CC2E5"/>
        <w:left w:val="single" w:sz="2" w:space="0" w:color="9CC2E5"/>
        <w:bottom w:val="single" w:sz="2" w:space="2" w:color="9CC2E5"/>
        <w:right w:val="single" w:sz="2" w:space="0" w:color="9CC2E5"/>
      </w:pBdr>
      <w:shd w:val="clear" w:color="auto" w:fill="9CC2E5"/>
      <w:spacing w:before="120" w:after="120"/>
      <w:ind w:left="312" w:hanging="284"/>
      <w:outlineLvl w:val="1"/>
    </w:pPr>
    <w:rPr>
      <w:rFonts w:ascii="Arial" w:eastAsia="Times New Roman" w:hAnsi="Arial"/>
      <w:b/>
      <w:bCs/>
      <w:color w:val="0070C0"/>
      <w:sz w:val="18"/>
      <w:szCs w:val="16"/>
      <w:lang w:val="de-DE" w:eastAsia="fr-FR"/>
    </w:rPr>
  </w:style>
  <w:style w:type="paragraph" w:customStyle="1" w:styleId="SDSTextHeading3">
    <w:name w:val="SDS_Text_Heading3"/>
    <w:qFormat/>
    <w:pPr>
      <w:keepNext/>
      <w:keepLines/>
      <w:spacing w:before="120" w:after="60" w:line="288" w:lineRule="auto"/>
      <w:ind w:left="284" w:hanging="284"/>
      <w:outlineLvl w:val="2"/>
    </w:pPr>
    <w:rPr>
      <w:rFonts w:ascii="Arial" w:eastAsia="Times New Roman" w:hAnsi="Arial"/>
      <w:b/>
      <w:bCs/>
      <w:color w:val="0070C0"/>
      <w:sz w:val="16"/>
      <w:szCs w:val="16"/>
    </w:rPr>
  </w:style>
  <w:style w:type="paragraph" w:customStyle="1" w:styleId="SDSTextHeading4">
    <w:name w:val="SDS_Text_Heading4"/>
    <w:qFormat/>
    <w:pPr>
      <w:keepNext/>
      <w:keepLines/>
      <w:spacing w:before="120" w:after="60" w:line="288" w:lineRule="auto"/>
      <w:ind w:left="284" w:hanging="284"/>
      <w:outlineLvl w:val="3"/>
    </w:pPr>
    <w:rPr>
      <w:rFonts w:ascii="Arial" w:eastAsia="Times New Roman" w:hAnsi="Arial"/>
      <w:b/>
      <w:color w:val="0070C0"/>
      <w:sz w:val="16"/>
      <w:szCs w:val="16"/>
    </w:rPr>
  </w:style>
  <w:style w:type="paragraph" w:customStyle="1" w:styleId="SDSTableTextColonColumn">
    <w:name w:val="SDS_TableText_ColonColumn"/>
    <w:basedOn w:val="SDSTableTextNormal"/>
    <w:qFormat/>
    <w:pPr>
      <w:jc w:val="center"/>
    </w:pPr>
  </w:style>
  <w:style w:type="paragraph" w:customStyle="1" w:styleId="SDSTableTextHeader">
    <w:name w:val="SDS_TableText_Header"/>
    <w:qFormat/>
    <w:rPr>
      <w:rFonts w:ascii="Arial" w:eastAsia="Times New Roman" w:hAnsi="Arial"/>
      <w:sz w:val="14"/>
      <w:szCs w:val="14"/>
    </w:rPr>
  </w:style>
  <w:style w:type="paragraph" w:customStyle="1" w:styleId="SDSTableTextFooter">
    <w:name w:val="SDS_TableText_Footer"/>
    <w:qFormat/>
    <w:rPr>
      <w:rFonts w:ascii="Arial" w:eastAsia="Times New Roman" w:hAnsi="Arial"/>
      <w:sz w:val="14"/>
      <w:szCs w:val="1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13"/>
        <w:tab w:val="right" w:pos="9026"/>
      </w:tabs>
      <w:spacing w:line="240" w:lineRule="auto"/>
    </w:pPr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2913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3</cp:revision>
  <dcterms:created xsi:type="dcterms:W3CDTF">2025-03-04T16:24:00Z</dcterms:created>
  <dcterms:modified xsi:type="dcterms:W3CDTF">2025-03-04T16:24:00Z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2023-07-07T10:42:00Z</dcterms:created>
  <dc:creator>Lisam Systems</dc:creator>
  <dc:description/>
  <dc:language>fr-FR</dc:language>
  <cp:lastModifiedBy>Tanguy Cleeremans</cp:lastModifiedBy>
  <cp:lastPrinted>2019-08-29T14:09:00Z</cp:lastPrinted>
  <dcterms:modified xsi:type="dcterms:W3CDTF">2023-07-07T10:42:00Z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